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12CA" w:rsidRDefault="002B12CA">
      <w:pPr>
        <w:widowControl w:val="0"/>
        <w:spacing w:line="276" w:lineRule="auto"/>
        <w:rPr>
          <w:sz w:val="22"/>
          <w:szCs w:val="22"/>
        </w:rPr>
      </w:pPr>
    </w:p>
    <w:tbl>
      <w:tblPr>
        <w:tblStyle w:val="a8"/>
        <w:tblW w:w="1044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740"/>
        <w:gridCol w:w="2700"/>
      </w:tblGrid>
      <w:tr w:rsidR="002B12CA" w14:paraId="006BF517" w14:textId="77777777">
        <w:tc>
          <w:tcPr>
            <w:tcW w:w="7740" w:type="dxa"/>
            <w:tcMar>
              <w:top w:w="100" w:type="dxa"/>
              <w:left w:w="100" w:type="dxa"/>
              <w:bottom w:w="100" w:type="dxa"/>
              <w:right w:w="100" w:type="dxa"/>
            </w:tcMar>
          </w:tcPr>
          <w:p w14:paraId="00000002" w14:textId="77777777" w:rsidR="002B12CA" w:rsidRDefault="00000000">
            <w:pPr>
              <w:rPr>
                <w:rFonts w:ascii="Times" w:eastAsia="Times" w:hAnsi="Times" w:cs="Times"/>
                <w:sz w:val="18"/>
                <w:szCs w:val="18"/>
              </w:rPr>
            </w:pPr>
            <w:r>
              <w:rPr>
                <w:rFonts w:ascii="Times" w:eastAsia="Times" w:hAnsi="Times" w:cs="Times"/>
                <w:noProof/>
                <w:sz w:val="18"/>
                <w:szCs w:val="18"/>
              </w:rPr>
              <w:drawing>
                <wp:inline distT="114300" distB="114300" distL="114300" distR="114300">
                  <wp:extent cx="942975" cy="942975"/>
                  <wp:effectExtent l="0" t="0" r="0" b="0"/>
                  <wp:docPr id="5" name="image1.png" descr="PingIdentity_logo.png"/>
                  <wp:cNvGraphicFramePr/>
                  <a:graphic xmlns:a="http://schemas.openxmlformats.org/drawingml/2006/main">
                    <a:graphicData uri="http://schemas.openxmlformats.org/drawingml/2006/picture">
                      <pic:pic xmlns:pic="http://schemas.openxmlformats.org/drawingml/2006/picture">
                        <pic:nvPicPr>
                          <pic:cNvPr id="0" name="image1.png" descr="PingIdentity_logo.png"/>
                          <pic:cNvPicPr preferRelativeResize="0"/>
                        </pic:nvPicPr>
                        <pic:blipFill>
                          <a:blip r:embed="rId8"/>
                          <a:srcRect/>
                          <a:stretch>
                            <a:fillRect/>
                          </a:stretch>
                        </pic:blipFill>
                        <pic:spPr>
                          <a:xfrm>
                            <a:off x="0" y="0"/>
                            <a:ext cx="942975" cy="942975"/>
                          </a:xfrm>
                          <a:prstGeom prst="rect">
                            <a:avLst/>
                          </a:prstGeom>
                          <a:ln/>
                        </pic:spPr>
                      </pic:pic>
                    </a:graphicData>
                  </a:graphic>
                </wp:inline>
              </w:drawing>
            </w:r>
          </w:p>
        </w:tc>
        <w:tc>
          <w:tcPr>
            <w:tcW w:w="2700" w:type="dxa"/>
            <w:tcMar>
              <w:top w:w="100" w:type="dxa"/>
              <w:left w:w="100" w:type="dxa"/>
              <w:bottom w:w="100" w:type="dxa"/>
              <w:right w:w="100" w:type="dxa"/>
            </w:tcMar>
          </w:tcPr>
          <w:p w14:paraId="00000003" w14:textId="77777777" w:rsidR="002B12CA" w:rsidRDefault="002B12CA">
            <w:pPr>
              <w:widowControl w:val="0"/>
              <w:rPr>
                <w:rFonts w:ascii="Times" w:eastAsia="Times" w:hAnsi="Times" w:cs="Times"/>
                <w:sz w:val="18"/>
                <w:szCs w:val="18"/>
              </w:rPr>
            </w:pPr>
          </w:p>
          <w:p w14:paraId="00000004" w14:textId="77777777" w:rsidR="002B12CA" w:rsidRDefault="00000000">
            <w:pPr>
              <w:widowControl w:val="0"/>
              <w:jc w:val="right"/>
              <w:rPr>
                <w:rFonts w:ascii="Times" w:eastAsia="Times" w:hAnsi="Times" w:cs="Times"/>
                <w:color w:val="434343"/>
                <w:sz w:val="18"/>
                <w:szCs w:val="18"/>
              </w:rPr>
            </w:pPr>
            <w:r>
              <w:rPr>
                <w:rFonts w:ascii="Times" w:eastAsia="Times" w:hAnsi="Times" w:cs="Times"/>
                <w:color w:val="434343"/>
                <w:sz w:val="18"/>
                <w:szCs w:val="18"/>
              </w:rPr>
              <w:t>Ping Identity Corporation</w:t>
            </w:r>
          </w:p>
          <w:p w14:paraId="00000005" w14:textId="77777777" w:rsidR="002B12CA" w:rsidRDefault="00000000">
            <w:pPr>
              <w:widowControl w:val="0"/>
              <w:jc w:val="right"/>
              <w:rPr>
                <w:rFonts w:ascii="Times" w:eastAsia="Times" w:hAnsi="Times" w:cs="Times"/>
                <w:color w:val="434343"/>
                <w:sz w:val="18"/>
                <w:szCs w:val="18"/>
              </w:rPr>
            </w:pPr>
            <w:r>
              <w:rPr>
                <w:rFonts w:ascii="Times" w:eastAsia="Times" w:hAnsi="Times" w:cs="Times"/>
                <w:color w:val="434343"/>
                <w:sz w:val="18"/>
                <w:szCs w:val="18"/>
              </w:rPr>
              <w:t>1001 17th Street, Suite 100</w:t>
            </w:r>
          </w:p>
          <w:p w14:paraId="00000006" w14:textId="77777777" w:rsidR="002B12CA" w:rsidRDefault="00000000">
            <w:pPr>
              <w:widowControl w:val="0"/>
              <w:jc w:val="right"/>
              <w:rPr>
                <w:rFonts w:ascii="Times" w:eastAsia="Times" w:hAnsi="Times" w:cs="Times"/>
                <w:color w:val="434343"/>
                <w:sz w:val="18"/>
                <w:szCs w:val="18"/>
              </w:rPr>
            </w:pPr>
            <w:r>
              <w:rPr>
                <w:rFonts w:ascii="Times" w:eastAsia="Times" w:hAnsi="Times" w:cs="Times"/>
                <w:color w:val="434343"/>
                <w:sz w:val="18"/>
                <w:szCs w:val="18"/>
              </w:rPr>
              <w:t>Denver, CO 80202</w:t>
            </w:r>
          </w:p>
          <w:p w14:paraId="00000007" w14:textId="77777777" w:rsidR="002B12CA" w:rsidRDefault="002B12CA">
            <w:pPr>
              <w:widowControl w:val="0"/>
              <w:jc w:val="both"/>
              <w:rPr>
                <w:rFonts w:ascii="Times" w:eastAsia="Times" w:hAnsi="Times" w:cs="Times"/>
                <w:sz w:val="18"/>
                <w:szCs w:val="18"/>
              </w:rPr>
            </w:pPr>
          </w:p>
        </w:tc>
      </w:tr>
    </w:tbl>
    <w:p w14:paraId="00000008" w14:textId="77777777" w:rsidR="002B12CA" w:rsidRDefault="002B12CA"/>
    <w:p w14:paraId="00000009" w14:textId="77777777" w:rsidR="002B12CA"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Exhibit A</w:t>
      </w:r>
    </w:p>
    <w:p w14:paraId="0000000A" w14:textId="77777777" w:rsidR="002B12CA" w:rsidRDefault="002B12CA">
      <w:pPr>
        <w:rPr>
          <w:rFonts w:ascii="Times New Roman" w:eastAsia="Times New Roman" w:hAnsi="Times New Roman" w:cs="Times New Roman"/>
          <w:b/>
          <w:bCs/>
          <w:sz w:val="18"/>
          <w:szCs w:val="18"/>
        </w:rPr>
      </w:pPr>
    </w:p>
    <w:tbl>
      <w:tblPr>
        <w:tblStyle w:val="a9"/>
        <w:tblW w:w="1080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90"/>
        <w:gridCol w:w="8010"/>
      </w:tblGrid>
      <w:tr w:rsidR="002B12CA" w14:paraId="48A62F13" w14:textId="77777777">
        <w:tc>
          <w:tcPr>
            <w:tcW w:w="2790" w:type="dxa"/>
            <w:tcMar>
              <w:top w:w="100" w:type="dxa"/>
              <w:left w:w="100" w:type="dxa"/>
              <w:bottom w:w="100" w:type="dxa"/>
              <w:right w:w="100" w:type="dxa"/>
            </w:tcMar>
          </w:tcPr>
          <w:p w14:paraId="0000000B" w14:textId="77777777" w:rsidR="002B12C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Customer Name: </w:t>
            </w:r>
          </w:p>
        </w:tc>
        <w:tc>
          <w:tcPr>
            <w:tcW w:w="8010" w:type="dxa"/>
            <w:tcMar>
              <w:top w:w="100" w:type="dxa"/>
              <w:left w:w="100" w:type="dxa"/>
              <w:bottom w:w="100" w:type="dxa"/>
              <w:right w:w="100" w:type="dxa"/>
            </w:tcMar>
          </w:tcPr>
          <w:p w14:paraId="0000000C" w14:textId="77777777" w:rsidR="002B12CA" w:rsidRDefault="00000000">
            <w:pPr>
              <w:rPr>
                <w:rFonts w:ascii="Times New Roman" w:eastAsia="Times New Roman" w:hAnsi="Times New Roman" w:cs="Times New Roman"/>
                <w:b/>
                <w:bCs/>
                <w:sz w:val="18"/>
                <w:szCs w:val="18"/>
                <w:highlight w:val="yellow"/>
              </w:rPr>
            </w:pPr>
            <w:r>
              <w:rPr>
                <w:rFonts w:ascii="Times New Roman" w:eastAsia="Times New Roman" w:hAnsi="Times New Roman" w:cs="Times New Roman"/>
                <w:b/>
                <w:bCs/>
                <w:sz w:val="18"/>
                <w:szCs w:val="18"/>
                <w:highlight w:val="yellow"/>
              </w:rPr>
              <w:t>CUSTOMER NAME</w:t>
            </w:r>
          </w:p>
        </w:tc>
      </w:tr>
      <w:tr w:rsidR="002B12CA" w14:paraId="0F20D68D" w14:textId="77777777">
        <w:tc>
          <w:tcPr>
            <w:tcW w:w="2790" w:type="dxa"/>
            <w:tcMar>
              <w:top w:w="100" w:type="dxa"/>
              <w:left w:w="100" w:type="dxa"/>
              <w:bottom w:w="100" w:type="dxa"/>
              <w:right w:w="100" w:type="dxa"/>
            </w:tcMar>
          </w:tcPr>
          <w:p w14:paraId="0000000D" w14:textId="77777777" w:rsidR="002B12C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Engagement Description: </w:t>
            </w:r>
          </w:p>
        </w:tc>
        <w:tc>
          <w:tcPr>
            <w:tcW w:w="8010" w:type="dxa"/>
            <w:tcMar>
              <w:top w:w="100" w:type="dxa"/>
              <w:left w:w="100" w:type="dxa"/>
              <w:bottom w:w="100" w:type="dxa"/>
              <w:right w:w="100" w:type="dxa"/>
            </w:tcMar>
          </w:tcPr>
          <w:p w14:paraId="0000000E" w14:textId="77777777" w:rsidR="002B12CA" w:rsidRDefault="00000000">
            <w:pPr>
              <w:rPr>
                <w:rFonts w:ascii="Times New Roman" w:eastAsia="Times New Roman" w:hAnsi="Times New Roman" w:cs="Times New Roman"/>
                <w:b/>
                <w:bCs/>
                <w:sz w:val="18"/>
                <w:szCs w:val="18"/>
                <w:highlight w:val="yellow"/>
              </w:rPr>
            </w:pPr>
            <w:sdt>
              <w:sdtPr>
                <w:tag w:val="goog_rdk_0"/>
                <w:id w:val="-2110163618"/>
              </w:sdtPr>
              <w:sdtContent/>
            </w:sdt>
            <w:r>
              <w:rPr>
                <w:rFonts w:ascii="Times New Roman" w:eastAsia="Times New Roman" w:hAnsi="Times New Roman" w:cs="Times New Roman"/>
                <w:b/>
                <w:bCs/>
                <w:sz w:val="18"/>
                <w:szCs w:val="18"/>
                <w:highlight w:val="yellow"/>
              </w:rPr>
              <w:t>Technical Guidance &amp; Assistance</w:t>
            </w:r>
          </w:p>
        </w:tc>
      </w:tr>
      <w:tr w:rsidR="002B12CA" w14:paraId="79D3A846" w14:textId="77777777">
        <w:tc>
          <w:tcPr>
            <w:tcW w:w="2790" w:type="dxa"/>
            <w:tcMar>
              <w:top w:w="100" w:type="dxa"/>
              <w:left w:w="100" w:type="dxa"/>
              <w:bottom w:w="100" w:type="dxa"/>
              <w:right w:w="100" w:type="dxa"/>
            </w:tcMar>
          </w:tcPr>
          <w:p w14:paraId="0000000F" w14:textId="77777777" w:rsidR="002B12C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Reference Number:</w:t>
            </w:r>
          </w:p>
        </w:tc>
        <w:tc>
          <w:tcPr>
            <w:tcW w:w="8010" w:type="dxa"/>
            <w:tcMar>
              <w:top w:w="100" w:type="dxa"/>
              <w:left w:w="100" w:type="dxa"/>
              <w:bottom w:w="100" w:type="dxa"/>
              <w:right w:w="100" w:type="dxa"/>
            </w:tcMar>
          </w:tcPr>
          <w:p w14:paraId="00000010" w14:textId="77777777" w:rsidR="002B12CA" w:rsidRDefault="00000000">
            <w:pPr>
              <w:rPr>
                <w:rFonts w:ascii="Times New Roman" w:eastAsia="Times New Roman" w:hAnsi="Times New Roman" w:cs="Times New Roman"/>
                <w:b/>
                <w:bCs/>
                <w:sz w:val="18"/>
                <w:szCs w:val="18"/>
                <w:highlight w:val="yellow"/>
              </w:rPr>
            </w:pPr>
            <w:r>
              <w:rPr>
                <w:rFonts w:ascii="Times New Roman" w:eastAsia="Times New Roman" w:hAnsi="Times New Roman" w:cs="Times New Roman"/>
                <w:b/>
                <w:bCs/>
                <w:sz w:val="18"/>
                <w:szCs w:val="18"/>
                <w:highlight w:val="yellow"/>
              </w:rPr>
              <w:t xml:space="preserve">REF </w:t>
            </w:r>
            <w:proofErr w:type="spellStart"/>
            <w:r>
              <w:rPr>
                <w:rFonts w:ascii="Times New Roman" w:eastAsia="Times New Roman" w:hAnsi="Times New Roman" w:cs="Times New Roman"/>
                <w:b/>
                <w:bCs/>
                <w:sz w:val="18"/>
                <w:szCs w:val="18"/>
                <w:highlight w:val="yellow"/>
              </w:rPr>
              <w:t>NUMx</w:t>
            </w:r>
            <w:proofErr w:type="spellEnd"/>
            <w:r>
              <w:rPr>
                <w:rFonts w:ascii="Times New Roman" w:eastAsia="Times New Roman" w:hAnsi="Times New Roman" w:cs="Times New Roman"/>
                <w:b/>
                <w:bCs/>
                <w:sz w:val="18"/>
                <w:szCs w:val="18"/>
                <w:highlight w:val="yellow"/>
              </w:rPr>
              <w:t xml:space="preserve"> </w:t>
            </w:r>
          </w:p>
        </w:tc>
      </w:tr>
      <w:tr w:rsidR="002B12CA" w14:paraId="47EB8974" w14:textId="77777777">
        <w:tc>
          <w:tcPr>
            <w:tcW w:w="2790" w:type="dxa"/>
            <w:tcMar>
              <w:top w:w="100" w:type="dxa"/>
              <w:left w:w="100" w:type="dxa"/>
              <w:bottom w:w="100" w:type="dxa"/>
              <w:right w:w="100" w:type="dxa"/>
            </w:tcMar>
          </w:tcPr>
          <w:p w14:paraId="00000011" w14:textId="77777777" w:rsidR="002B12C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SOW Issue Date:</w:t>
            </w:r>
          </w:p>
        </w:tc>
        <w:tc>
          <w:tcPr>
            <w:tcW w:w="8010" w:type="dxa"/>
            <w:tcMar>
              <w:top w:w="100" w:type="dxa"/>
              <w:left w:w="100" w:type="dxa"/>
              <w:bottom w:w="100" w:type="dxa"/>
              <w:right w:w="100" w:type="dxa"/>
            </w:tcMar>
          </w:tcPr>
          <w:p w14:paraId="00000012" w14:textId="77777777" w:rsidR="002B12CA" w:rsidRDefault="00000000">
            <w:pPr>
              <w:rPr>
                <w:rFonts w:ascii="Times New Roman" w:eastAsia="Times New Roman" w:hAnsi="Times New Roman" w:cs="Times New Roman"/>
                <w:b/>
                <w:bCs/>
                <w:sz w:val="18"/>
                <w:szCs w:val="18"/>
                <w:highlight w:val="yellow"/>
              </w:rPr>
            </w:pPr>
            <w:r>
              <w:rPr>
                <w:rFonts w:ascii="Times New Roman" w:eastAsia="Times New Roman" w:hAnsi="Times New Roman" w:cs="Times New Roman"/>
                <w:b/>
                <w:bCs/>
                <w:sz w:val="18"/>
                <w:szCs w:val="18"/>
                <w:highlight w:val="yellow"/>
              </w:rPr>
              <w:t>DATE</w:t>
            </w:r>
          </w:p>
        </w:tc>
      </w:tr>
    </w:tbl>
    <w:p w14:paraId="00000013" w14:textId="77777777" w:rsidR="002B12CA" w:rsidRDefault="002B12CA">
      <w:pPr>
        <w:rPr>
          <w:rFonts w:ascii="Times New Roman" w:eastAsia="Times New Roman" w:hAnsi="Times New Roman" w:cs="Times New Roman"/>
          <w:sz w:val="18"/>
          <w:szCs w:val="18"/>
        </w:rPr>
      </w:pPr>
    </w:p>
    <w:p w14:paraId="00000014" w14:textId="77777777" w:rsidR="002B12CA" w:rsidRDefault="002B12CA">
      <w:pPr>
        <w:rPr>
          <w:rFonts w:ascii="Times New Roman" w:eastAsia="Times New Roman" w:hAnsi="Times New Roman" w:cs="Times New Roman"/>
          <w:sz w:val="18"/>
          <w:szCs w:val="18"/>
        </w:rPr>
      </w:pPr>
    </w:p>
    <w:p w14:paraId="00000015" w14:textId="77777777" w:rsidR="002B12CA" w:rsidRDefault="00000000">
      <w:pPr>
        <w:numPr>
          <w:ilvl w:val="0"/>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Engagement Overview</w:t>
      </w:r>
    </w:p>
    <w:p w14:paraId="00000016" w14:textId="77777777" w:rsidR="002B12CA" w:rsidRDefault="00000000">
      <w:pPr>
        <w:numPr>
          <w:ilvl w:val="1"/>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Background</w:t>
      </w:r>
    </w:p>
    <w:p w14:paraId="00000017" w14:textId="77777777" w:rsidR="002B12CA" w:rsidRDefault="00000000">
      <w:pPr>
        <w:tabs>
          <w:tab w:val="left" w:pos="1080"/>
          <w:tab w:val="left" w:pos="1260"/>
        </w:tabs>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highlight w:val="yellow"/>
        </w:rPr>
        <w:t>CUSTOMER NAME</w:t>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Customer</w:t>
      </w:r>
      <w:r>
        <w:rPr>
          <w:rFonts w:ascii="Times New Roman" w:eastAsia="Times New Roman" w:hAnsi="Times New Roman" w:cs="Times New Roman"/>
          <w:sz w:val="18"/>
          <w:szCs w:val="18"/>
        </w:rPr>
        <w:t>”) is contracting with Ping Identity Corporation (“</w:t>
      </w:r>
      <w:r>
        <w:rPr>
          <w:rFonts w:ascii="Times New Roman" w:eastAsia="Times New Roman" w:hAnsi="Times New Roman" w:cs="Times New Roman"/>
          <w:b/>
          <w:bCs/>
          <w:sz w:val="18"/>
          <w:szCs w:val="18"/>
        </w:rPr>
        <w:t>Ping Identity</w:t>
      </w:r>
      <w:r>
        <w:rPr>
          <w:rFonts w:ascii="Times New Roman" w:eastAsia="Times New Roman" w:hAnsi="Times New Roman" w:cs="Times New Roman"/>
          <w:sz w:val="18"/>
          <w:szCs w:val="18"/>
        </w:rPr>
        <w:t xml:space="preserve">”) to provide technical guidance and assistance for </w:t>
      </w:r>
      <w:r>
        <w:rPr>
          <w:rFonts w:ascii="Times New Roman" w:eastAsia="Times New Roman" w:hAnsi="Times New Roman" w:cs="Times New Roman"/>
          <w:i/>
          <w:iCs/>
          <w:sz w:val="18"/>
          <w:szCs w:val="18"/>
          <w:highlight w:val="yellow"/>
        </w:rPr>
        <w:t>insert description here</w:t>
      </w:r>
      <w:r>
        <w:rPr>
          <w:rFonts w:ascii="Times New Roman" w:eastAsia="Times New Roman" w:hAnsi="Times New Roman" w:cs="Times New Roman"/>
          <w:sz w:val="18"/>
          <w:szCs w:val="18"/>
        </w:rPr>
        <w:t>. This Statement of Work (“</w:t>
      </w:r>
      <w:r>
        <w:rPr>
          <w:rFonts w:ascii="Times New Roman" w:eastAsia="Times New Roman" w:hAnsi="Times New Roman" w:cs="Times New Roman"/>
          <w:b/>
          <w:bCs/>
          <w:sz w:val="18"/>
          <w:szCs w:val="18"/>
        </w:rPr>
        <w:t>SOW</w:t>
      </w:r>
      <w:r>
        <w:rPr>
          <w:rFonts w:ascii="Times New Roman" w:eastAsia="Times New Roman" w:hAnsi="Times New Roman" w:cs="Times New Roman"/>
          <w:sz w:val="18"/>
          <w:szCs w:val="18"/>
        </w:rPr>
        <w:t xml:space="preserve">”) outlines the activities and parameters for this engagement. </w:t>
      </w:r>
    </w:p>
    <w:p w14:paraId="00000018" w14:textId="77777777" w:rsidR="002B12CA" w:rsidRDefault="00000000">
      <w:pPr>
        <w:numPr>
          <w:ilvl w:val="1"/>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Parameters</w:t>
      </w:r>
    </w:p>
    <w:p w14:paraId="00000019"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Ping Identity products: </w:t>
      </w:r>
      <w:r>
        <w:rPr>
          <w:rFonts w:ascii="Times New Roman" w:eastAsia="Times New Roman" w:hAnsi="Times New Roman" w:cs="Times New Roman"/>
          <w:sz w:val="18"/>
          <w:szCs w:val="18"/>
          <w:highlight w:val="yellow"/>
        </w:rPr>
        <w:t>NNN</w:t>
      </w:r>
    </w:p>
    <w:p w14:paraId="0000001A"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Total Hours: </w:t>
      </w:r>
      <w:r>
        <w:rPr>
          <w:rFonts w:ascii="Times New Roman" w:eastAsia="Times New Roman" w:hAnsi="Times New Roman" w:cs="Times New Roman"/>
          <w:sz w:val="18"/>
          <w:szCs w:val="18"/>
          <w:highlight w:val="yellow"/>
        </w:rPr>
        <w:t>NNN</w:t>
      </w:r>
      <w:r>
        <w:rPr>
          <w:rFonts w:ascii="Times New Roman" w:eastAsia="Times New Roman" w:hAnsi="Times New Roman" w:cs="Times New Roman"/>
          <w:sz w:val="18"/>
          <w:szCs w:val="18"/>
        </w:rPr>
        <w:t xml:space="preserve"> (combined Technical Consultant and Project Manager)</w:t>
      </w:r>
    </w:p>
    <w:p w14:paraId="0000001B"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highlight w:val="yellow"/>
        </w:rPr>
        <w:t>Engagement Term: ______ months from the date of the Project Kickoff</w:t>
      </w:r>
      <w:r>
        <w:rPr>
          <w:rFonts w:ascii="Times New Roman" w:eastAsia="Times New Roman" w:hAnsi="Times New Roman" w:cs="Times New Roman"/>
          <w:sz w:val="18"/>
          <w:szCs w:val="18"/>
        </w:rPr>
        <w:t>, or contract End Date as indicated on the Order Form, whichever comes first.</w:t>
      </w:r>
    </w:p>
    <w:p w14:paraId="0000001C" w14:textId="77777777" w:rsidR="002B12CA" w:rsidRDefault="00000000">
      <w:pPr>
        <w:numPr>
          <w:ilvl w:val="2"/>
          <w:numId w:val="1"/>
        </w:numP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highlight w:val="yellow"/>
        </w:rPr>
        <w:t>Expected Cadence: hours / week</w:t>
      </w:r>
    </w:p>
    <w:p w14:paraId="0000001D"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Work Location: Remote</w:t>
      </w:r>
    </w:p>
    <w:p w14:paraId="0000001E" w14:textId="77777777" w:rsidR="002B12CA" w:rsidRDefault="00000000">
      <w:pPr>
        <w:numPr>
          <w:ilvl w:val="2"/>
          <w:numId w:val="1"/>
        </w:numP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highlight w:val="yellow"/>
        </w:rPr>
        <w:t>Other - from the input sheet</w:t>
      </w:r>
    </w:p>
    <w:p w14:paraId="0000001F" w14:textId="77777777" w:rsidR="002B12CA" w:rsidRDefault="002B12CA">
      <w:pPr>
        <w:ind w:left="2160"/>
        <w:rPr>
          <w:rFonts w:ascii="Times New Roman" w:eastAsia="Times New Roman" w:hAnsi="Times New Roman" w:cs="Times New Roman"/>
          <w:sz w:val="18"/>
          <w:szCs w:val="18"/>
        </w:rPr>
      </w:pPr>
    </w:p>
    <w:p w14:paraId="00000020" w14:textId="77777777" w:rsidR="002B12CA" w:rsidRDefault="00000000">
      <w:pPr>
        <w:numPr>
          <w:ilvl w:val="0"/>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Description of Services</w:t>
      </w:r>
    </w:p>
    <w:p w14:paraId="00000021" w14:textId="77777777" w:rsidR="002B12CA" w:rsidRDefault="00000000">
      <w:pPr>
        <w:numPr>
          <w:ilvl w:val="1"/>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Activities</w:t>
      </w:r>
    </w:p>
    <w:p w14:paraId="00000022"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following section describes the activities that we expect to take place during the engagement. </w:t>
      </w:r>
    </w:p>
    <w:p w14:paraId="00000023" w14:textId="77777777" w:rsidR="002B12CA" w:rsidRDefault="00000000">
      <w:pPr>
        <w:numPr>
          <w:ilvl w:val="2"/>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rPr>
      </w:pPr>
      <w:r>
        <w:rPr>
          <w:rFonts w:ascii="Times New Roman" w:eastAsia="Times New Roman" w:hAnsi="Times New Roman" w:cs="Times New Roman"/>
          <w:sz w:val="18"/>
          <w:szCs w:val="18"/>
        </w:rPr>
        <w:t>Pre-kickoff coordination</w:t>
      </w:r>
    </w:p>
    <w:p w14:paraId="00000024" w14:textId="77777777" w:rsidR="002B12CA" w:rsidRDefault="00000000">
      <w:pPr>
        <w:numPr>
          <w:ilvl w:val="2"/>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rPr>
      </w:pPr>
      <w:r>
        <w:rPr>
          <w:rFonts w:ascii="Times New Roman" w:eastAsia="Times New Roman" w:hAnsi="Times New Roman" w:cs="Times New Roman"/>
          <w:sz w:val="18"/>
          <w:szCs w:val="18"/>
        </w:rPr>
        <w:t>Kickoff call</w:t>
      </w:r>
    </w:p>
    <w:p w14:paraId="00000025" w14:textId="77777777" w:rsidR="002B12CA" w:rsidRDefault="00000000">
      <w:pPr>
        <w:numPr>
          <w:ilvl w:val="2"/>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highlight w:val="yellow"/>
        </w:rPr>
      </w:pPr>
      <w:sdt>
        <w:sdtPr>
          <w:tag w:val="goog_rdk_1"/>
          <w:id w:val="1619702407"/>
        </w:sdtPr>
        <w:sdtContent/>
      </w:sdt>
      <w:r>
        <w:rPr>
          <w:rFonts w:ascii="Times New Roman" w:eastAsia="Times New Roman" w:hAnsi="Times New Roman" w:cs="Times New Roman"/>
          <w:sz w:val="18"/>
          <w:szCs w:val="18"/>
          <w:highlight w:val="yellow"/>
        </w:rPr>
        <w:t>Provide technical guidance and assistance as directed by Customer, which may be towards the following tasks</w:t>
      </w:r>
    </w:p>
    <w:p w14:paraId="00000026" w14:textId="77777777" w:rsidR="002B12CA" w:rsidRDefault="00000000">
      <w:pPr>
        <w:numPr>
          <w:ilvl w:val="3"/>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highlight w:val="yellow"/>
        </w:rPr>
      </w:pPr>
      <w:proofErr w:type="spellStart"/>
      <w:r>
        <w:rPr>
          <w:rFonts w:ascii="Times New Roman" w:eastAsia="Times New Roman" w:hAnsi="Times New Roman" w:cs="Times New Roman"/>
          <w:sz w:val="18"/>
          <w:szCs w:val="18"/>
          <w:highlight w:val="yellow"/>
        </w:rPr>
        <w:t>Xx</w:t>
      </w:r>
      <w:proofErr w:type="spellEnd"/>
    </w:p>
    <w:p w14:paraId="00000027" w14:textId="77777777" w:rsidR="002B12CA" w:rsidRDefault="00000000">
      <w:pPr>
        <w:numPr>
          <w:ilvl w:val="3"/>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highlight w:val="yellow"/>
        </w:rPr>
        <w:t>xx</w:t>
      </w:r>
    </w:p>
    <w:p w14:paraId="00000028" w14:textId="77777777" w:rsidR="002B12CA" w:rsidRDefault="00000000">
      <w:pPr>
        <w:numPr>
          <w:ilvl w:val="2"/>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highlight w:val="yellow"/>
        </w:rPr>
        <w:lastRenderedPageBreak/>
        <w:t>Offline research and reach-back to Ping Identity in-house expertise as needed</w:t>
      </w:r>
    </w:p>
    <w:p w14:paraId="00000029" w14:textId="77777777" w:rsidR="002B12CA" w:rsidRDefault="00000000">
      <w:pPr>
        <w:numPr>
          <w:ilvl w:val="2"/>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highlight w:val="yellow"/>
        </w:rPr>
        <w:t>Light engagement coordination for activity tracking and communications</w:t>
      </w:r>
    </w:p>
    <w:p w14:paraId="0000002A" w14:textId="77777777" w:rsidR="002B12CA" w:rsidRDefault="002B12CA">
      <w:pPr>
        <w:rPr>
          <w:rFonts w:ascii="Times New Roman" w:eastAsia="Times New Roman" w:hAnsi="Times New Roman" w:cs="Times New Roman"/>
          <w:sz w:val="18"/>
          <w:szCs w:val="18"/>
        </w:rPr>
      </w:pPr>
    </w:p>
    <w:p w14:paraId="0000002B" w14:textId="77777777" w:rsidR="002B12CA" w:rsidRDefault="00000000">
      <w:pPr>
        <w:numPr>
          <w:ilvl w:val="1"/>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Exclusions</w:t>
      </w:r>
    </w:p>
    <w:p w14:paraId="0000002C" w14:textId="77777777" w:rsidR="002B12CA" w:rsidRDefault="00000000">
      <w:pPr>
        <w:ind w:left="1440"/>
        <w:rPr>
          <w:rFonts w:ascii="Times New Roman" w:eastAsia="Times New Roman" w:hAnsi="Times New Roman" w:cs="Times New Roman"/>
          <w:b/>
          <w:bCs/>
          <w:sz w:val="18"/>
          <w:szCs w:val="18"/>
        </w:rPr>
      </w:pPr>
      <w:r>
        <w:rPr>
          <w:rFonts w:ascii="Times New Roman" w:eastAsia="Times New Roman" w:hAnsi="Times New Roman" w:cs="Times New Roman"/>
          <w:sz w:val="18"/>
          <w:szCs w:val="18"/>
        </w:rPr>
        <w:t>Any activities not specifically listed in Section 2.1 of this SOW are excluded, including, but not limited to:</w:t>
      </w:r>
    </w:p>
    <w:p w14:paraId="0000002D"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Unscheduled discussions or other activities normally handled by Ping Identity Technical Support and/or Ping Identity Customer Success</w:t>
      </w:r>
    </w:p>
    <w:p w14:paraId="0000002E"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Configuration, implementation, development, or design of any product, system, or device not licensed by Ping Identity hereunder.</w:t>
      </w:r>
    </w:p>
    <w:p w14:paraId="0000002F"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End-to-end integration testing.</w:t>
      </w:r>
    </w:p>
    <w:p w14:paraId="00000030"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Interoperability testing of third-party up-and-down-stream systems.</w:t>
      </w:r>
    </w:p>
    <w:p w14:paraId="00000031"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Assisting with user acceptance, functional and performance testing, including on any Ping Identity-hosted platforms.</w:t>
      </w:r>
    </w:p>
    <w:p w14:paraId="00000032"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Development or modification of any customer-provided UI / UX components.</w:t>
      </w:r>
    </w:p>
    <w:p w14:paraId="00000033"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Creation of any custom code components.</w:t>
      </w:r>
    </w:p>
    <w:p w14:paraId="00000034"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Acceleration of product roadmap or configuration, functionality, flows, or integrations not found in Ping Identity Documentation.</w:t>
      </w:r>
    </w:p>
    <w:p w14:paraId="00000035"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Any DevOps activities or development of any custom deployment automation software.</w:t>
      </w:r>
    </w:p>
    <w:p w14:paraId="00000036"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Tenant creation</w:t>
      </w:r>
    </w:p>
    <w:p w14:paraId="00000037"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Creation, modification or maintenance any documentation</w:t>
      </w:r>
    </w:p>
    <w:p w14:paraId="00000038"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Solution certification </w:t>
      </w:r>
    </w:p>
    <w:p w14:paraId="00000039" w14:textId="77777777" w:rsidR="002B12CA" w:rsidRDefault="00000000">
      <w:pPr>
        <w:numPr>
          <w:ilvl w:val="2"/>
          <w:numId w:val="1"/>
        </w:numPr>
        <w:rPr>
          <w:rFonts w:ascii="Times New Roman" w:eastAsia="Times New Roman" w:hAnsi="Times New Roman" w:cs="Times New Roman"/>
          <w:sz w:val="18"/>
          <w:szCs w:val="18"/>
        </w:rPr>
      </w:pPr>
      <w:r>
        <w:rPr>
          <w:rFonts w:ascii="Times New Roman" w:eastAsia="Times New Roman" w:hAnsi="Times New Roman" w:cs="Times New Roman"/>
          <w:sz w:val="18"/>
          <w:szCs w:val="18"/>
        </w:rPr>
        <w:t>Full solution implementation</w:t>
      </w:r>
    </w:p>
    <w:p w14:paraId="0000003A" w14:textId="77777777" w:rsidR="002B12CA" w:rsidRDefault="002B12CA">
      <w:pPr>
        <w:rPr>
          <w:rFonts w:ascii="Times New Roman" w:eastAsia="Times New Roman" w:hAnsi="Times New Roman" w:cs="Times New Roman"/>
          <w:b/>
          <w:bCs/>
          <w:sz w:val="18"/>
          <w:szCs w:val="18"/>
        </w:rPr>
      </w:pPr>
    </w:p>
    <w:p w14:paraId="0000003B" w14:textId="77777777" w:rsidR="002B12CA" w:rsidRDefault="00000000">
      <w:pPr>
        <w:numPr>
          <w:ilvl w:val="1"/>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Documents</w:t>
      </w:r>
    </w:p>
    <w:p w14:paraId="0000003C"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The following is a list of the Documents (“</w:t>
      </w:r>
      <w:r>
        <w:rPr>
          <w:rFonts w:ascii="Times New Roman" w:eastAsia="Times New Roman" w:hAnsi="Times New Roman" w:cs="Times New Roman"/>
          <w:b/>
          <w:bCs/>
          <w:sz w:val="18"/>
          <w:szCs w:val="18"/>
        </w:rPr>
        <w:t>Documents</w:t>
      </w:r>
      <w:r>
        <w:rPr>
          <w:rFonts w:ascii="Times New Roman" w:eastAsia="Times New Roman" w:hAnsi="Times New Roman" w:cs="Times New Roman"/>
          <w:sz w:val="18"/>
          <w:szCs w:val="18"/>
        </w:rPr>
        <w:t>”) expected to be produced for this engagement. Any documents created will use standard Ping Identity templates.</w:t>
      </w:r>
    </w:p>
    <w:p w14:paraId="0000003D" w14:textId="77777777" w:rsidR="002B12CA" w:rsidRDefault="00000000">
      <w:pPr>
        <w:numPr>
          <w:ilvl w:val="0"/>
          <w:numId w:val="2"/>
        </w:numPr>
        <w:rPr>
          <w:rFonts w:ascii="Times New Roman" w:eastAsia="Times New Roman" w:hAnsi="Times New Roman" w:cs="Times New Roman"/>
          <w:sz w:val="18"/>
          <w:szCs w:val="18"/>
        </w:rPr>
      </w:pPr>
      <w:r>
        <w:rPr>
          <w:rFonts w:ascii="Times New Roman" w:eastAsia="Times New Roman" w:hAnsi="Times New Roman" w:cs="Times New Roman"/>
          <w:sz w:val="18"/>
          <w:szCs w:val="18"/>
        </w:rPr>
        <w:t>Hours Report</w:t>
      </w:r>
    </w:p>
    <w:p w14:paraId="0000003E" w14:textId="77777777" w:rsidR="002B12CA" w:rsidRDefault="00000000">
      <w:pPr>
        <w:numPr>
          <w:ilvl w:val="0"/>
          <w:numId w:val="2"/>
        </w:numPr>
        <w:rPr>
          <w:rFonts w:ascii="Times New Roman" w:eastAsia="Times New Roman" w:hAnsi="Times New Roman" w:cs="Times New Roman"/>
          <w:sz w:val="18"/>
          <w:szCs w:val="18"/>
        </w:rPr>
      </w:pPr>
      <w:r>
        <w:rPr>
          <w:rFonts w:ascii="Times New Roman" w:eastAsia="Times New Roman" w:hAnsi="Times New Roman" w:cs="Times New Roman"/>
          <w:sz w:val="18"/>
          <w:szCs w:val="18"/>
        </w:rPr>
        <w:t>Weekly Highlight Report which will encompass:</w:t>
      </w:r>
    </w:p>
    <w:p w14:paraId="0000003F" w14:textId="77777777" w:rsidR="002B12CA" w:rsidRDefault="00000000">
      <w:pPr>
        <w:numPr>
          <w:ilvl w:val="1"/>
          <w:numId w:val="2"/>
        </w:numPr>
        <w:rPr>
          <w:rFonts w:ascii="Times New Roman" w:eastAsia="Times New Roman" w:hAnsi="Times New Roman" w:cs="Times New Roman"/>
          <w:sz w:val="18"/>
          <w:szCs w:val="18"/>
        </w:rPr>
      </w:pPr>
      <w:r>
        <w:rPr>
          <w:rFonts w:ascii="Times New Roman" w:eastAsia="Times New Roman" w:hAnsi="Times New Roman" w:cs="Times New Roman"/>
          <w:sz w:val="18"/>
          <w:szCs w:val="18"/>
        </w:rPr>
        <w:t>A weekly snapshot detailing the project's health.</w:t>
      </w:r>
    </w:p>
    <w:p w14:paraId="00000040" w14:textId="77777777" w:rsidR="002B12CA" w:rsidRDefault="00000000">
      <w:pPr>
        <w:numPr>
          <w:ilvl w:val="1"/>
          <w:numId w:val="2"/>
        </w:numPr>
        <w:rPr>
          <w:rFonts w:ascii="Times New Roman" w:eastAsia="Times New Roman" w:hAnsi="Times New Roman" w:cs="Times New Roman"/>
          <w:sz w:val="18"/>
          <w:szCs w:val="18"/>
        </w:rPr>
      </w:pPr>
      <w:r>
        <w:rPr>
          <w:rFonts w:ascii="Times New Roman" w:eastAsia="Times New Roman" w:hAnsi="Times New Roman" w:cs="Times New Roman"/>
          <w:sz w:val="18"/>
          <w:szCs w:val="18"/>
        </w:rPr>
        <w:t>A review of completed actions.</w:t>
      </w:r>
    </w:p>
    <w:p w14:paraId="00000041" w14:textId="77777777" w:rsidR="002B12CA" w:rsidRDefault="00000000">
      <w:pPr>
        <w:numPr>
          <w:ilvl w:val="1"/>
          <w:numId w:val="2"/>
        </w:numPr>
        <w:rPr>
          <w:rFonts w:ascii="Times New Roman" w:eastAsia="Times New Roman" w:hAnsi="Times New Roman" w:cs="Times New Roman"/>
          <w:sz w:val="18"/>
          <w:szCs w:val="18"/>
        </w:rPr>
      </w:pPr>
      <w:r>
        <w:rPr>
          <w:rFonts w:ascii="Times New Roman" w:eastAsia="Times New Roman" w:hAnsi="Times New Roman" w:cs="Times New Roman"/>
          <w:sz w:val="18"/>
          <w:szCs w:val="18"/>
        </w:rPr>
        <w:t>Reminders for upcoming tasks.</w:t>
      </w:r>
    </w:p>
    <w:p w14:paraId="00000042" w14:textId="77777777" w:rsidR="002B12CA" w:rsidRDefault="00000000">
      <w:pPr>
        <w:numPr>
          <w:ilvl w:val="1"/>
          <w:numId w:val="2"/>
        </w:numPr>
        <w:rPr>
          <w:rFonts w:ascii="Times New Roman" w:eastAsia="Times New Roman" w:hAnsi="Times New Roman" w:cs="Times New Roman"/>
          <w:sz w:val="18"/>
          <w:szCs w:val="18"/>
        </w:rPr>
      </w:pPr>
      <w:r>
        <w:rPr>
          <w:rFonts w:ascii="Times New Roman" w:eastAsia="Times New Roman" w:hAnsi="Times New Roman" w:cs="Times New Roman"/>
          <w:sz w:val="18"/>
          <w:szCs w:val="18"/>
        </w:rPr>
        <w:t>Time reporting, broken down by each Ping Identity resource role.</w:t>
      </w:r>
    </w:p>
    <w:p w14:paraId="00000043" w14:textId="77777777" w:rsidR="002B12CA" w:rsidRDefault="002B12C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sz w:val="18"/>
          <w:szCs w:val="18"/>
        </w:rPr>
      </w:pPr>
    </w:p>
    <w:p w14:paraId="00000044" w14:textId="77777777" w:rsidR="002B12CA" w:rsidRDefault="00000000">
      <w:pPr>
        <w:numPr>
          <w:ilvl w:val="0"/>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Engagement Resources</w:t>
      </w:r>
    </w:p>
    <w:p w14:paraId="00000045" w14:textId="77777777" w:rsidR="002B12CA" w:rsidRDefault="00000000">
      <w:pPr>
        <w:numPr>
          <w:ilvl w:val="1"/>
          <w:numId w:val="1"/>
        </w:num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Ping Identity Resources</w:t>
      </w:r>
    </w:p>
    <w:p w14:paraId="00000046" w14:textId="77777777" w:rsidR="002B12CA" w:rsidRDefault="00000000">
      <w:pPr>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During this engagement, the following roles are allocated to the engagement. </w:t>
      </w:r>
    </w:p>
    <w:tbl>
      <w:tblPr>
        <w:tblStyle w:val="aa"/>
        <w:tblpPr w:leftFromText="180" w:rightFromText="180" w:vertAnchor="text" w:tblpX="1435" w:tblpY="121"/>
        <w:tblW w:w="7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5328"/>
      </w:tblGrid>
      <w:tr w:rsidR="002B12CA" w14:paraId="054E2B7F" w14:textId="77777777">
        <w:trPr>
          <w:cantSplit/>
          <w:trHeight w:val="381"/>
        </w:trPr>
        <w:tc>
          <w:tcPr>
            <w:tcW w:w="2220" w:type="dxa"/>
            <w:shd w:val="clear" w:color="auto" w:fill="D9E2F3"/>
            <w:vAlign w:val="center"/>
          </w:tcPr>
          <w:p w14:paraId="00000047"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Role</w:t>
            </w:r>
          </w:p>
        </w:tc>
        <w:tc>
          <w:tcPr>
            <w:tcW w:w="5328" w:type="dxa"/>
            <w:shd w:val="clear" w:color="auto" w:fill="D9E2F3"/>
            <w:vAlign w:val="center"/>
          </w:tcPr>
          <w:p w14:paraId="00000048"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Description</w:t>
            </w:r>
          </w:p>
        </w:tc>
      </w:tr>
      <w:tr w:rsidR="002B12CA" w14:paraId="22E7621B" w14:textId="77777777">
        <w:trPr>
          <w:cantSplit/>
          <w:trHeight w:val="630"/>
        </w:trPr>
        <w:tc>
          <w:tcPr>
            <w:tcW w:w="2220" w:type="dxa"/>
            <w:vAlign w:val="center"/>
          </w:tcPr>
          <w:p w14:paraId="00000049" w14:textId="77777777" w:rsidR="002B12CA" w:rsidRDefault="00000000">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Project Manager</w:t>
            </w:r>
          </w:p>
        </w:tc>
        <w:tc>
          <w:tcPr>
            <w:tcW w:w="5328" w:type="dxa"/>
            <w:vAlign w:val="center"/>
          </w:tcPr>
          <w:p w14:paraId="0000004A" w14:textId="77777777" w:rsidR="002B12CA" w:rsidRDefault="00000000">
            <w:pPr>
              <w:spacing w:line="276"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The Project Manager provides project planning, tracking, status reporting, stakeholder communication, cross-functional coordination, risk and issue management, and delivery oversight throughout the Engagement Term. Project Management includes ongoing governance necessary to maintain delivery continuity and stakeholder alignment </w:t>
            </w:r>
            <w:r>
              <w:rPr>
                <w:rFonts w:ascii="Times New Roman" w:eastAsia="Times New Roman" w:hAnsi="Times New Roman" w:cs="Times New Roman"/>
                <w:sz w:val="18"/>
                <w:szCs w:val="18"/>
                <w:highlight w:val="white"/>
              </w:rPr>
              <w:lastRenderedPageBreak/>
              <w:t>across varying levels of technical activity. Project Management hours will be deducted from the total allocation as services are performed during the Engagement Term, including during periods of reduced technical activity or Customer-driven scheduling adjustments, unless otherwise mutually agreed in writing.</w:t>
            </w:r>
          </w:p>
        </w:tc>
      </w:tr>
      <w:tr w:rsidR="002B12CA" w14:paraId="21AB7DC7" w14:textId="77777777">
        <w:trPr>
          <w:cantSplit/>
          <w:trHeight w:val="471"/>
        </w:trPr>
        <w:tc>
          <w:tcPr>
            <w:tcW w:w="2220" w:type="dxa"/>
            <w:vAlign w:val="center"/>
          </w:tcPr>
          <w:p w14:paraId="0000004B"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Technical Consultant(s)</w:t>
            </w:r>
          </w:p>
        </w:tc>
        <w:tc>
          <w:tcPr>
            <w:tcW w:w="5328" w:type="dxa"/>
            <w:vAlign w:val="center"/>
          </w:tcPr>
          <w:p w14:paraId="0000004C"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The Technical Consultant performs the technical activities described in this SOW. Technical Consulting may include requirements gathering, architecture and design, configuration assistance, best practices consulting, Customer-specific documentation and technical mentorship of Ping Identity products.</w:t>
            </w:r>
          </w:p>
        </w:tc>
      </w:tr>
    </w:tbl>
    <w:p w14:paraId="0000004D" w14:textId="77777777" w:rsidR="002B12CA" w:rsidRDefault="00000000">
      <w:pPr>
        <w:spacing w:before="120"/>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p w14:paraId="0000004E" w14:textId="77777777" w:rsidR="002B12CA" w:rsidRDefault="002B12C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rPr>
      </w:pPr>
    </w:p>
    <w:p w14:paraId="0000004F" w14:textId="77777777" w:rsidR="002B12CA" w:rsidRDefault="002B12CA">
      <w:pPr>
        <w:pBdr>
          <w:top w:val="none" w:sz="0" w:space="0" w:color="000000"/>
          <w:left w:val="none" w:sz="0" w:space="0" w:color="000000"/>
          <w:bottom w:val="none" w:sz="0" w:space="0" w:color="000000"/>
          <w:right w:val="none" w:sz="0" w:space="0" w:color="000000"/>
          <w:between w:val="none" w:sz="0" w:space="0" w:color="000000"/>
        </w:pBdr>
        <w:ind w:left="1440"/>
        <w:rPr>
          <w:rFonts w:ascii="Times New Roman" w:eastAsia="Times New Roman" w:hAnsi="Times New Roman" w:cs="Times New Roman"/>
          <w:sz w:val="18"/>
          <w:szCs w:val="18"/>
        </w:rPr>
      </w:pPr>
    </w:p>
    <w:p w14:paraId="00000050" w14:textId="77777777" w:rsidR="002B12CA" w:rsidRDefault="002B12CA">
      <w:pPr>
        <w:pBdr>
          <w:top w:val="none" w:sz="0" w:space="0" w:color="000000"/>
          <w:left w:val="none" w:sz="0" w:space="0" w:color="000000"/>
          <w:bottom w:val="none" w:sz="0" w:space="0" w:color="000000"/>
          <w:right w:val="none" w:sz="0" w:space="0" w:color="000000"/>
          <w:between w:val="none" w:sz="0" w:space="0" w:color="000000"/>
        </w:pBdr>
        <w:ind w:left="1440"/>
        <w:rPr>
          <w:rFonts w:ascii="Times New Roman" w:eastAsia="Times New Roman" w:hAnsi="Times New Roman" w:cs="Times New Roman"/>
          <w:b/>
          <w:bCs/>
          <w:sz w:val="18"/>
          <w:szCs w:val="18"/>
        </w:rPr>
      </w:pPr>
    </w:p>
    <w:p w14:paraId="00000051" w14:textId="77777777" w:rsidR="002B12CA"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Subcontracting </w:t>
      </w:r>
    </w:p>
    <w:p w14:paraId="00000052"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ind w:left="1440"/>
        <w:rPr>
          <w:rFonts w:ascii="Times New Roman" w:eastAsia="Times New Roman" w:hAnsi="Times New Roman" w:cs="Times New Roman"/>
          <w:sz w:val="18"/>
          <w:szCs w:val="18"/>
        </w:rPr>
      </w:pPr>
      <w:sdt>
        <w:sdtPr>
          <w:tag w:val="goog_rdk_2"/>
          <w:id w:val="1775055809"/>
        </w:sdtPr>
        <w:sdtContent/>
      </w:sdt>
      <w:r>
        <w:rPr>
          <w:rFonts w:ascii="Times New Roman" w:eastAsia="Times New Roman" w:hAnsi="Times New Roman" w:cs="Times New Roman"/>
          <w:sz w:val="18"/>
          <w:szCs w:val="18"/>
        </w:rPr>
        <w:t>Ping Identity may subcontract some or all activities set forth in this SOW to a Ping Identity partner.</w:t>
      </w:r>
    </w:p>
    <w:p w14:paraId="00000053" w14:textId="77777777" w:rsidR="002B12CA" w:rsidRDefault="002B12C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sz w:val="18"/>
          <w:szCs w:val="18"/>
        </w:rPr>
      </w:pPr>
    </w:p>
    <w:p w14:paraId="00000054" w14:textId="77777777" w:rsidR="002B12CA"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Engagement Model</w:t>
      </w:r>
    </w:p>
    <w:p w14:paraId="00000055"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ind w:left="14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All activities described in this SOW will be executed on a </w:t>
      </w:r>
      <w:r>
        <w:rPr>
          <w:rFonts w:ascii="Times New Roman" w:eastAsia="Times New Roman" w:hAnsi="Times New Roman" w:cs="Times New Roman"/>
          <w:sz w:val="18"/>
          <w:szCs w:val="18"/>
          <w:highlight w:val="yellow"/>
        </w:rPr>
        <w:t>Prepaid</w:t>
      </w:r>
      <w:r>
        <w:rPr>
          <w:rFonts w:ascii="Times New Roman" w:eastAsia="Times New Roman" w:hAnsi="Times New Roman" w:cs="Times New Roman"/>
          <w:sz w:val="18"/>
          <w:szCs w:val="18"/>
        </w:rPr>
        <w:t xml:space="preserve"> basis. Work will be performed between 8:00 AM to 5:00 PM (Monday to Friday) in the time zone(s) where the Ping Identity team members are located.</w:t>
      </w:r>
    </w:p>
    <w:p w14:paraId="00000056" w14:textId="77777777" w:rsidR="002B12CA" w:rsidRDefault="002B12CA">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18"/>
          <w:szCs w:val="18"/>
        </w:rPr>
      </w:pPr>
    </w:p>
    <w:p w14:paraId="00000057" w14:textId="77777777" w:rsidR="002B12CA" w:rsidRDefault="00000000">
      <w:pPr>
        <w:numPr>
          <w:ilvl w:val="0"/>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Engagement Assumptions</w:t>
      </w:r>
    </w:p>
    <w:p w14:paraId="00000058"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ind w:left="72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The pricing in this SOW is based upon the assumptions below. A formal Change Order may be necessary to address changes that: (</w:t>
      </w:r>
      <w:proofErr w:type="spellStart"/>
      <w:r>
        <w:rPr>
          <w:rFonts w:ascii="Times New Roman" w:eastAsia="Times New Roman" w:hAnsi="Times New Roman" w:cs="Times New Roman"/>
          <w:sz w:val="18"/>
          <w:szCs w:val="18"/>
          <w:highlight w:val="white"/>
        </w:rPr>
        <w:t>i</w:t>
      </w:r>
      <w:proofErr w:type="spellEnd"/>
      <w:r>
        <w:rPr>
          <w:rFonts w:ascii="Times New Roman" w:eastAsia="Times New Roman" w:hAnsi="Times New Roman" w:cs="Times New Roman"/>
          <w:sz w:val="18"/>
          <w:szCs w:val="18"/>
          <w:highlight w:val="white"/>
        </w:rPr>
        <w:t>) alter the activities in Section 2.1, (ii) impact Engagement Term, and/or (iii) require additional effort.</w:t>
      </w:r>
    </w:p>
    <w:p w14:paraId="00000059"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ind w:left="720"/>
        <w:rPr>
          <w:rFonts w:ascii="Times New Roman" w:eastAsia="Times New Roman" w:hAnsi="Times New Roman" w:cs="Times New Roman"/>
          <w:sz w:val="18"/>
          <w:szCs w:val="18"/>
        </w:rPr>
      </w:pPr>
      <w:r>
        <w:rPr>
          <w:rFonts w:ascii="Times New Roman" w:eastAsia="Times New Roman" w:hAnsi="Times New Roman" w:cs="Times New Roman"/>
          <w:sz w:val="18"/>
          <w:szCs w:val="18"/>
          <w:highlight w:val="white"/>
        </w:rPr>
        <w:t>It is assumed that:</w:t>
      </w:r>
    </w:p>
    <w:p w14:paraId="0000005A" w14:textId="77777777" w:rsidR="002B12CA" w:rsidRDefault="00000000">
      <w:pPr>
        <w:numPr>
          <w:ilvl w:val="1"/>
          <w:numId w:val="1"/>
        </w:numPr>
        <w:tabs>
          <w:tab w:val="left" w:pos="1080"/>
          <w:tab w:val="left" w:pos="1260"/>
        </w:tabs>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Any and all</w:t>
      </w:r>
      <w:proofErr w:type="gramEnd"/>
      <w:r>
        <w:rPr>
          <w:rFonts w:ascii="Times New Roman" w:eastAsia="Times New Roman" w:hAnsi="Times New Roman" w:cs="Times New Roman"/>
          <w:sz w:val="18"/>
          <w:szCs w:val="18"/>
        </w:rPr>
        <w:t xml:space="preserve"> time expended by Ping Identity related to this engagement will be drawn from the Total Hours, regardless of whether the time was spent in direct contact with the Customer. This includes, but is not </w:t>
      </w:r>
      <w:proofErr w:type="gramStart"/>
      <w:r>
        <w:rPr>
          <w:rFonts w:ascii="Times New Roman" w:eastAsia="Times New Roman" w:hAnsi="Times New Roman" w:cs="Times New Roman"/>
          <w:sz w:val="18"/>
          <w:szCs w:val="18"/>
        </w:rPr>
        <w:t>limited  to</w:t>
      </w:r>
      <w:proofErr w:type="gramEnd"/>
      <w:r>
        <w:rPr>
          <w:rFonts w:ascii="Times New Roman" w:eastAsia="Times New Roman" w:hAnsi="Times New Roman" w:cs="Times New Roman"/>
          <w:sz w:val="18"/>
          <w:szCs w:val="18"/>
        </w:rPr>
        <w:t>, time spent in offline research, meeting preparation, cross-coordination with internal and external stakeholders, testing of workarounds and technical solutions in labs, report generation, issue resolution, and communications.</w:t>
      </w:r>
    </w:p>
    <w:p w14:paraId="0000005B" w14:textId="77777777" w:rsidR="002B12CA" w:rsidRDefault="00000000">
      <w:pPr>
        <w:numPr>
          <w:ilvl w:val="1"/>
          <w:numId w:val="1"/>
        </w:numPr>
        <w:tabs>
          <w:tab w:val="left" w:pos="1080"/>
          <w:tab w:val="left" w:pos="1260"/>
        </w:tabs>
        <w:rPr>
          <w:rFonts w:ascii="Times New Roman" w:eastAsia="Times New Roman" w:hAnsi="Times New Roman" w:cs="Times New Roman"/>
          <w:sz w:val="18"/>
          <w:szCs w:val="18"/>
        </w:rPr>
      </w:pPr>
      <w:r>
        <w:rPr>
          <w:rFonts w:ascii="Times New Roman" w:eastAsia="Times New Roman" w:hAnsi="Times New Roman" w:cs="Times New Roman"/>
          <w:sz w:val="18"/>
          <w:szCs w:val="18"/>
        </w:rPr>
        <w:t>Once the Project Kickoff has been completed, the project must run to completion. All allocated hours must be utilized within the Engagement Term; any unused hours will expire at the end of the Engagement Term.</w:t>
      </w:r>
    </w:p>
    <w:p w14:paraId="0000005C" w14:textId="77777777" w:rsidR="002B12CA" w:rsidRDefault="00000000">
      <w:pPr>
        <w:numPr>
          <w:ilvl w:val="1"/>
          <w:numId w:val="1"/>
        </w:numPr>
        <w:tabs>
          <w:tab w:val="left" w:pos="1080"/>
          <w:tab w:val="left" w:pos="1260"/>
        </w:tabs>
        <w:rPr>
          <w:rFonts w:ascii="Times New Roman" w:eastAsia="Times New Roman" w:hAnsi="Times New Roman" w:cs="Times New Roman"/>
          <w:sz w:val="18"/>
          <w:szCs w:val="18"/>
        </w:rPr>
      </w:pPr>
      <w:r>
        <w:rPr>
          <w:rFonts w:ascii="Times New Roman" w:eastAsia="Times New Roman" w:hAnsi="Times New Roman" w:cs="Times New Roman"/>
          <w:sz w:val="18"/>
          <w:szCs w:val="18"/>
        </w:rPr>
        <w:t>Ping Identity may reallocate technical consultancy hours and project management hours.</w:t>
      </w:r>
    </w:p>
    <w:p w14:paraId="0000005D" w14:textId="77777777" w:rsidR="002B12CA" w:rsidRDefault="002B12CA">
      <w:pPr>
        <w:tabs>
          <w:tab w:val="left" w:pos="1080"/>
          <w:tab w:val="left" w:pos="1260"/>
        </w:tabs>
        <w:rPr>
          <w:rFonts w:ascii="Times New Roman" w:eastAsia="Times New Roman" w:hAnsi="Times New Roman" w:cs="Times New Roman"/>
          <w:b/>
          <w:bCs/>
          <w:sz w:val="18"/>
          <w:szCs w:val="18"/>
        </w:rPr>
      </w:pPr>
    </w:p>
    <w:p w14:paraId="0000005E" w14:textId="77777777" w:rsidR="002B12CA" w:rsidRDefault="00000000">
      <w:pPr>
        <w:numPr>
          <w:ilvl w:val="0"/>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Customer’s Responsibilities</w:t>
      </w:r>
    </w:p>
    <w:p w14:paraId="0000005F" w14:textId="77777777" w:rsidR="002B12CA" w:rsidRDefault="00000000">
      <w:pPr>
        <w:tabs>
          <w:tab w:val="left" w:pos="1080"/>
          <w:tab w:val="left" w:pos="1260"/>
        </w:tabs>
        <w:ind w:left="720"/>
        <w:rPr>
          <w:rFonts w:ascii="Times New Roman" w:eastAsia="Times New Roman" w:hAnsi="Times New Roman" w:cs="Times New Roman"/>
          <w:b/>
          <w:bCs/>
          <w:sz w:val="18"/>
          <w:szCs w:val="18"/>
        </w:rPr>
      </w:pPr>
      <w:r>
        <w:rPr>
          <w:rFonts w:ascii="Times New Roman" w:eastAsia="Times New Roman" w:hAnsi="Times New Roman" w:cs="Times New Roman"/>
          <w:sz w:val="18"/>
          <w:szCs w:val="18"/>
        </w:rPr>
        <w:t>Customer will be responsible for:</w:t>
      </w:r>
    </w:p>
    <w:p w14:paraId="00000060" w14:textId="77777777" w:rsidR="002B12CA" w:rsidRDefault="00000000">
      <w:pPr>
        <w:numPr>
          <w:ilvl w:val="1"/>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sz w:val="18"/>
          <w:szCs w:val="18"/>
        </w:rPr>
        <w:t>Engaging in a pre-kickoff planning meeting.</w:t>
      </w:r>
    </w:p>
    <w:p w14:paraId="00000061" w14:textId="77777777" w:rsidR="002B12CA" w:rsidRDefault="00000000">
      <w:pPr>
        <w:numPr>
          <w:ilvl w:val="1"/>
          <w:numId w:val="1"/>
        </w:numPr>
        <w:tabs>
          <w:tab w:val="left" w:pos="1080"/>
          <w:tab w:val="left" w:pos="1260"/>
        </w:tabs>
        <w:rPr>
          <w:rFonts w:ascii="Times New Roman" w:eastAsia="Times New Roman" w:hAnsi="Times New Roman" w:cs="Times New Roman"/>
          <w:sz w:val="18"/>
          <w:szCs w:val="18"/>
        </w:rPr>
      </w:pPr>
      <w:r>
        <w:rPr>
          <w:rFonts w:ascii="Times New Roman" w:eastAsia="Times New Roman" w:hAnsi="Times New Roman" w:cs="Times New Roman"/>
          <w:sz w:val="18"/>
          <w:szCs w:val="18"/>
        </w:rPr>
        <w:t>Identifying any specific tasks or needs from Ping Identity resources</w:t>
      </w:r>
    </w:p>
    <w:p w14:paraId="00000062" w14:textId="77777777" w:rsidR="002B12CA" w:rsidRDefault="00000000">
      <w:pPr>
        <w:numPr>
          <w:ilvl w:val="1"/>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sz w:val="18"/>
          <w:szCs w:val="18"/>
        </w:rPr>
        <w:t>Creating any project plans and managing Customer’s broader technology initiatives.</w:t>
      </w:r>
    </w:p>
    <w:p w14:paraId="00000063" w14:textId="77777777" w:rsidR="002B12CA" w:rsidRDefault="00000000">
      <w:pPr>
        <w:numPr>
          <w:ilvl w:val="1"/>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sz w:val="18"/>
          <w:szCs w:val="18"/>
        </w:rPr>
        <w:t>Reporting any technical issues relating to the production environment in accordance with the procedure set forth in the Support Policy.</w:t>
      </w:r>
    </w:p>
    <w:p w14:paraId="00000064" w14:textId="77777777" w:rsidR="002B12CA" w:rsidRDefault="002B12CA">
      <w:pPr>
        <w:tabs>
          <w:tab w:val="left" w:pos="1080"/>
          <w:tab w:val="left" w:pos="1260"/>
        </w:tabs>
        <w:rPr>
          <w:rFonts w:ascii="Times New Roman" w:eastAsia="Times New Roman" w:hAnsi="Times New Roman" w:cs="Times New Roman"/>
          <w:b/>
          <w:bCs/>
          <w:sz w:val="18"/>
          <w:szCs w:val="18"/>
        </w:rPr>
      </w:pPr>
    </w:p>
    <w:p w14:paraId="00000065" w14:textId="77777777" w:rsidR="002B12CA" w:rsidRDefault="00000000">
      <w:pPr>
        <w:numPr>
          <w:ilvl w:val="0"/>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Travel</w:t>
      </w:r>
    </w:p>
    <w:p w14:paraId="00000066" w14:textId="77777777" w:rsidR="002B12CA" w:rsidRDefault="00000000">
      <w:pPr>
        <w:ind w:left="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Travel is not expected during this engagement. In the event Customer and Ping Identity determine that travel is necessary, a mutually executed Change Order will be required. </w:t>
      </w:r>
    </w:p>
    <w:p w14:paraId="00000067" w14:textId="77777777" w:rsidR="002B12CA" w:rsidRDefault="002B12CA">
      <w:pPr>
        <w:tabs>
          <w:tab w:val="left" w:pos="1080"/>
          <w:tab w:val="left" w:pos="1260"/>
        </w:tabs>
        <w:ind w:left="720"/>
        <w:rPr>
          <w:rFonts w:ascii="Times New Roman" w:eastAsia="Times New Roman" w:hAnsi="Times New Roman" w:cs="Times New Roman"/>
          <w:b/>
          <w:bCs/>
          <w:sz w:val="18"/>
          <w:szCs w:val="18"/>
        </w:rPr>
      </w:pPr>
    </w:p>
    <w:p w14:paraId="00000068" w14:textId="77777777" w:rsidR="002B12CA" w:rsidRDefault="00000000">
      <w:pPr>
        <w:numPr>
          <w:ilvl w:val="0"/>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Change Control Procedure</w:t>
      </w:r>
    </w:p>
    <w:p w14:paraId="00000069" w14:textId="77777777" w:rsidR="002B12CA" w:rsidRDefault="00000000">
      <w:pPr>
        <w:tabs>
          <w:tab w:val="left" w:pos="1080"/>
          <w:tab w:val="left" w:pos="1260"/>
        </w:tabs>
        <w:ind w:left="720"/>
        <w:rPr>
          <w:rFonts w:ascii="Times New Roman" w:eastAsia="Times New Roman" w:hAnsi="Times New Roman" w:cs="Times New Roman"/>
          <w:b/>
          <w:bCs/>
          <w:sz w:val="18"/>
          <w:szCs w:val="18"/>
        </w:rPr>
      </w:pPr>
      <w:r>
        <w:rPr>
          <w:rFonts w:ascii="Times New Roman" w:eastAsia="Times New Roman" w:hAnsi="Times New Roman" w:cs="Times New Roman"/>
          <w:sz w:val="18"/>
          <w:szCs w:val="18"/>
        </w:rPr>
        <w:t xml:space="preserve">Any changes to this SOW must be made in accordance with the change control procedure as follows: </w:t>
      </w:r>
    </w:p>
    <w:p w14:paraId="0000006A" w14:textId="77777777" w:rsidR="002B12CA" w:rsidRDefault="00000000">
      <w:pPr>
        <w:numPr>
          <w:ilvl w:val="1"/>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sz w:val="18"/>
          <w:szCs w:val="18"/>
        </w:rPr>
        <w:t>Either party may request a change to the SOW (“</w:t>
      </w:r>
      <w:r>
        <w:rPr>
          <w:rFonts w:ascii="Times New Roman" w:eastAsia="Times New Roman" w:hAnsi="Times New Roman" w:cs="Times New Roman"/>
          <w:b/>
          <w:bCs/>
          <w:sz w:val="18"/>
          <w:szCs w:val="18"/>
        </w:rPr>
        <w:t>Requesting Party</w:t>
      </w:r>
      <w:r>
        <w:rPr>
          <w:rFonts w:ascii="Times New Roman" w:eastAsia="Times New Roman" w:hAnsi="Times New Roman" w:cs="Times New Roman"/>
          <w:sz w:val="18"/>
          <w:szCs w:val="18"/>
        </w:rPr>
        <w:t xml:space="preserve">”) by issuing a request in writing to the other party that details the requested change.  </w:t>
      </w:r>
    </w:p>
    <w:p w14:paraId="0000006B" w14:textId="77777777" w:rsidR="002B12CA" w:rsidRDefault="00000000">
      <w:pPr>
        <w:numPr>
          <w:ilvl w:val="1"/>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sz w:val="18"/>
          <w:szCs w:val="18"/>
        </w:rPr>
        <w:t xml:space="preserve">The party receiving the request will respond to the Requesting Party within </w:t>
      </w:r>
      <w:proofErr w:type="gramStart"/>
      <w:r>
        <w:rPr>
          <w:rFonts w:ascii="Times New Roman" w:eastAsia="Times New Roman" w:hAnsi="Times New Roman" w:cs="Times New Roman"/>
          <w:sz w:val="18"/>
          <w:szCs w:val="18"/>
        </w:rPr>
        <w:t>a period of time</w:t>
      </w:r>
      <w:proofErr w:type="gramEnd"/>
      <w:r>
        <w:rPr>
          <w:rFonts w:ascii="Times New Roman" w:eastAsia="Times New Roman" w:hAnsi="Times New Roman" w:cs="Times New Roman"/>
          <w:sz w:val="18"/>
          <w:szCs w:val="18"/>
        </w:rPr>
        <w:t xml:space="preserve"> commensurate with the urgency of the request, to acknowledge receipt of the request and outline any additional steps required.  </w:t>
      </w:r>
    </w:p>
    <w:p w14:paraId="0000006C" w14:textId="77777777" w:rsidR="002B12CA" w:rsidRDefault="00000000">
      <w:pPr>
        <w:numPr>
          <w:ilvl w:val="1"/>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sz w:val="18"/>
          <w:szCs w:val="18"/>
        </w:rPr>
        <w:t>If the request is agreed upon, the parties will use reasonable efforts to finalize and execute a Change Order (“</w:t>
      </w:r>
      <w:r>
        <w:rPr>
          <w:rFonts w:ascii="Times New Roman" w:eastAsia="Times New Roman" w:hAnsi="Times New Roman" w:cs="Times New Roman"/>
          <w:b/>
          <w:bCs/>
          <w:sz w:val="18"/>
          <w:szCs w:val="18"/>
        </w:rPr>
        <w:t>Change Order</w:t>
      </w:r>
      <w:r>
        <w:rPr>
          <w:rFonts w:ascii="Times New Roman" w:eastAsia="Times New Roman" w:hAnsi="Times New Roman" w:cs="Times New Roman"/>
          <w:sz w:val="18"/>
          <w:szCs w:val="18"/>
        </w:rPr>
        <w:t xml:space="preserve">”). Until a Change Order is executed the parties will proceed under this SOW. </w:t>
      </w:r>
    </w:p>
    <w:p w14:paraId="0000006D" w14:textId="77777777" w:rsidR="002B12CA" w:rsidRDefault="00000000">
      <w:pPr>
        <w:numPr>
          <w:ilvl w:val="1"/>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sz w:val="18"/>
          <w:szCs w:val="18"/>
        </w:rPr>
        <w:t>A revised or new Customer purchase order, if required to bill Customer, must also accompany a request prior to the commencement of any additional services specified in the Change Order.</w:t>
      </w:r>
    </w:p>
    <w:p w14:paraId="0000006E" w14:textId="77777777" w:rsidR="002B12CA" w:rsidRDefault="002B12CA">
      <w:pPr>
        <w:tabs>
          <w:tab w:val="left" w:pos="1080"/>
          <w:tab w:val="left" w:pos="1260"/>
        </w:tabs>
        <w:ind w:left="720"/>
        <w:rPr>
          <w:rFonts w:ascii="Times New Roman" w:eastAsia="Times New Roman" w:hAnsi="Times New Roman" w:cs="Times New Roman"/>
          <w:b/>
          <w:bCs/>
          <w:sz w:val="18"/>
          <w:szCs w:val="18"/>
        </w:rPr>
      </w:pPr>
    </w:p>
    <w:p w14:paraId="0000006F" w14:textId="77777777" w:rsidR="002B12CA" w:rsidRDefault="00000000">
      <w:pPr>
        <w:numPr>
          <w:ilvl w:val="0"/>
          <w:numId w:val="1"/>
        </w:numPr>
        <w:tabs>
          <w:tab w:val="left" w:pos="1080"/>
          <w:tab w:val="left" w:pos="1260"/>
        </w:tabs>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Engagement Scheduling and Resourcing Expectations</w:t>
      </w:r>
    </w:p>
    <w:p w14:paraId="00000070" w14:textId="77777777" w:rsidR="002B12CA" w:rsidRDefault="00000000">
      <w:pPr>
        <w:pBdr>
          <w:top w:val="none" w:sz="0" w:space="0" w:color="000000"/>
          <w:left w:val="none" w:sz="0" w:space="0" w:color="000000"/>
          <w:bottom w:val="none" w:sz="0" w:space="0" w:color="000000"/>
          <w:right w:val="none" w:sz="0" w:space="0" w:color="000000"/>
          <w:between w:val="none" w:sz="0" w:space="0" w:color="000000"/>
        </w:pBdr>
        <w:ind w:left="720"/>
        <w:rPr>
          <w:rFonts w:ascii="Times New Roman" w:eastAsia="Times New Roman" w:hAnsi="Times New Roman" w:cs="Times New Roman"/>
          <w:sz w:val="18"/>
          <w:szCs w:val="18"/>
          <w:highlight w:val="green"/>
        </w:rPr>
      </w:pPr>
      <w:r>
        <w:rPr>
          <w:rFonts w:ascii="Times New Roman" w:eastAsia="Times New Roman" w:hAnsi="Times New Roman" w:cs="Times New Roman"/>
          <w:sz w:val="18"/>
          <w:szCs w:val="18"/>
          <w:highlight w:val="white"/>
        </w:rPr>
        <w:t>Customer and Ping Identity mutually agree to the following engagement details to support timeline predictability and resource availability.</w:t>
      </w:r>
    </w:p>
    <w:p w14:paraId="00000071" w14:textId="77777777" w:rsidR="002B12CA" w:rsidRDefault="00000000">
      <w:pPr>
        <w:numPr>
          <w:ilvl w:val="1"/>
          <w:numId w:val="1"/>
        </w:numP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Engagement Scheduling:</w:t>
      </w:r>
      <w:r>
        <w:rPr>
          <w:rFonts w:ascii="Times New Roman" w:eastAsia="Times New Roman" w:hAnsi="Times New Roman" w:cs="Times New Roman"/>
          <w:sz w:val="18"/>
          <w:szCs w:val="18"/>
        </w:rPr>
        <w:t xml:space="preserve"> Subject to mutual availability, Ping Identity and Customer will schedule a kick-off meeting where the engagement schedule will be established.</w:t>
      </w:r>
    </w:p>
    <w:p w14:paraId="00000072" w14:textId="77777777" w:rsidR="002B12CA" w:rsidRDefault="00000000">
      <w:pPr>
        <w:numPr>
          <w:ilvl w:val="1"/>
          <w:numId w:val="1"/>
        </w:numP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Working Hours:</w:t>
      </w:r>
      <w:r>
        <w:rPr>
          <w:rFonts w:ascii="Times New Roman" w:eastAsia="Times New Roman" w:hAnsi="Times New Roman" w:cs="Times New Roman"/>
          <w:sz w:val="18"/>
          <w:szCs w:val="18"/>
        </w:rPr>
        <w:t xml:space="preserve"> Ping Identity activities will be performed during regular business hours in the time zone where the individual delivering the Professional Services is located.</w:t>
      </w:r>
    </w:p>
    <w:p w14:paraId="00000073" w14:textId="77777777" w:rsidR="002B12CA" w:rsidRDefault="00000000">
      <w:pPr>
        <w:numPr>
          <w:ilvl w:val="1"/>
          <w:numId w:val="1"/>
        </w:numP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Resource Reservation: </w:t>
      </w:r>
      <w:r>
        <w:rPr>
          <w:rFonts w:ascii="Times New Roman" w:eastAsia="Times New Roman" w:hAnsi="Times New Roman" w:cs="Times New Roman"/>
          <w:sz w:val="18"/>
          <w:szCs w:val="18"/>
        </w:rPr>
        <w:t>Assignment of Ping resources is subject to availability. Ping Identity will reserve resource(s) for the Customer based upon the Expected Cadence. Once Customer has reserved a Professional Services resource, the reserved hours will be drawn down regardless of whether Customer utilizes those hours</w:t>
      </w:r>
      <w:r>
        <w:rPr>
          <w:rFonts w:ascii="Times New Roman" w:eastAsia="Times New Roman" w:hAnsi="Times New Roman" w:cs="Times New Roman"/>
          <w:b/>
          <w:bCs/>
          <w:sz w:val="18"/>
          <w:szCs w:val="18"/>
        </w:rPr>
        <w:t>.</w:t>
      </w:r>
    </w:p>
    <w:p w14:paraId="00000074" w14:textId="77777777" w:rsidR="002B12CA" w:rsidRDefault="00000000">
      <w:pPr>
        <w:numPr>
          <w:ilvl w:val="1"/>
          <w:numId w:val="1"/>
        </w:numP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After-hours: </w:t>
      </w:r>
      <w:r>
        <w:rPr>
          <w:rFonts w:ascii="Times New Roman" w:eastAsia="Times New Roman" w:hAnsi="Times New Roman" w:cs="Times New Roman"/>
          <w:sz w:val="18"/>
          <w:szCs w:val="18"/>
        </w:rPr>
        <w:t>Work performed outside of standard business hours must be mutually agreed upon at least ten (10) business days in advance and may require a Change Order. After-hours work will be billed as two (2) hours for each hour worked.</w:t>
      </w:r>
    </w:p>
    <w:sectPr w:rsidR="002B12CA">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EA476" w14:textId="77777777" w:rsidR="006241F1" w:rsidRDefault="006241F1">
      <w:pPr>
        <w:spacing w:line="240" w:lineRule="auto"/>
      </w:pPr>
      <w:r>
        <w:separator/>
      </w:r>
    </w:p>
  </w:endnote>
  <w:endnote w:type="continuationSeparator" w:id="0">
    <w:p w14:paraId="78090795" w14:textId="77777777" w:rsidR="006241F1" w:rsidRDefault="006241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F37F88-D36F-D047-95F6-7443949F406A}"/>
    <w:embedBold r:id="rId2" w:fontKey="{A3AD2CCB-9E83-0E4E-9AE8-A25207A652BB}"/>
    <w:embedItalic r:id="rId3" w:fontKey="{0D54DCD8-CAA1-6D47-8B18-6DA744D048CA}"/>
  </w:font>
  <w:font w:name="Arial">
    <w:panose1 w:val="020B0604020202020204"/>
    <w:charset w:val="00"/>
    <w:family w:val="swiss"/>
    <w:pitch w:val="variable"/>
    <w:sig w:usb0="E0002AFF" w:usb1="C0007843" w:usb2="00000009" w:usb3="00000000" w:csb0="000001FF" w:csb1="00000000"/>
    <w:embedRegular r:id="rId4" w:fontKey="{E9A81CFF-285F-8F41-8AFC-4BE3B6364BE2}"/>
    <w:embedBold r:id="rId5" w:fontKey="{6FD84368-7FDD-8644-8CFA-60D510F4EE3E}"/>
  </w:font>
  <w:font w:name="Georgia">
    <w:panose1 w:val="02040502050405020303"/>
    <w:charset w:val="00"/>
    <w:family w:val="roman"/>
    <w:pitch w:val="variable"/>
    <w:sig w:usb0="00000287" w:usb1="00000000" w:usb2="00000000" w:usb3="00000000" w:csb0="0000009F" w:csb1="00000000"/>
    <w:embedItalic r:id="rId6" w:fontKey="{7F7B1417-4FBD-EE49-B2A1-5079390DC14D}"/>
  </w:font>
  <w:font w:name="Time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8" w:fontKey="{6D54D496-DB36-AE45-87AB-05D2332A9718}"/>
  </w:font>
  <w:font w:name="Calibri">
    <w:panose1 w:val="020F0502020204030204"/>
    <w:charset w:val="00"/>
    <w:family w:val="swiss"/>
    <w:pitch w:val="variable"/>
    <w:sig w:usb0="E0002AFF" w:usb1="C000247B" w:usb2="00000009" w:usb3="00000000" w:csb0="000001FF" w:csb1="00000000"/>
    <w:embedRegular r:id="rId9" w:fontKey="{D1C4FC66-976D-B049-B067-DFFBD2F97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5" w14:textId="77777777" w:rsidR="002B12CA" w:rsidRDefault="00000000">
    <w:pPr>
      <w:tabs>
        <w:tab w:val="center" w:pos="4680"/>
        <w:tab w:val="right" w:pos="9360"/>
      </w:tabs>
      <w:spacing w:line="240" w:lineRule="auto"/>
      <w:jc w:val="right"/>
    </w:pPr>
    <w:r>
      <w:fldChar w:fldCharType="begin"/>
    </w:r>
    <w:r>
      <w:instrText>PAGE</w:instrText>
    </w:r>
    <w:r>
      <w:fldChar w:fldCharType="separate"/>
    </w:r>
    <w:r>
      <w:fldChar w:fldCharType="end"/>
    </w:r>
  </w:p>
  <w:p w14:paraId="00000076" w14:textId="77777777" w:rsidR="002B12CA" w:rsidRDefault="002B12CA">
    <w:pPr>
      <w:tabs>
        <w:tab w:val="center" w:pos="4680"/>
        <w:tab w:val="right" w:pos="9360"/>
      </w:tabs>
      <w:spacing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332A83CB" w:rsidR="002B12CA" w:rsidRDefault="00000000">
    <w:pPr>
      <w:tabs>
        <w:tab w:val="center" w:pos="4680"/>
        <w:tab w:val="right" w:pos="9360"/>
      </w:tabs>
      <w:spacing w:line="240" w:lineRule="auto"/>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sidR="003E7F81">
      <w:rPr>
        <w:rFonts w:ascii="Times New Roman" w:eastAsia="Times New Roman" w:hAnsi="Times New Roman" w:cs="Times New Roman"/>
        <w:noProof/>
        <w:sz w:val="18"/>
        <w:szCs w:val="18"/>
      </w:rPr>
      <w:t>1</w:t>
    </w:r>
    <w:r>
      <w:rPr>
        <w:rFonts w:ascii="Times New Roman" w:eastAsia="Times New Roman" w:hAnsi="Times New Roman" w:cs="Times New Roman"/>
        <w:sz w:val="18"/>
        <w:szCs w:val="18"/>
      </w:rPr>
      <w:fldChar w:fldCharType="end"/>
    </w:r>
  </w:p>
  <w:p w14:paraId="00000078" w14:textId="77777777" w:rsidR="002B12CA" w:rsidRDefault="00000000">
    <w:pPr>
      <w:tabs>
        <w:tab w:val="center" w:pos="4680"/>
        <w:tab w:val="right" w:pos="9360"/>
      </w:tabs>
      <w:spacing w:line="240" w:lineRule="auto"/>
      <w:ind w:right="36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Ping Identity Professional Services 2026</w:t>
    </w:r>
  </w:p>
  <w:p w14:paraId="00000079" w14:textId="77777777" w:rsidR="002B12CA" w:rsidRDefault="002B12CA">
    <w:pPr>
      <w:tabs>
        <w:tab w:val="center" w:pos="4680"/>
        <w:tab w:val="right" w:pos="9360"/>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EB378" w14:textId="77777777" w:rsidR="006241F1" w:rsidRDefault="006241F1">
      <w:pPr>
        <w:spacing w:line="240" w:lineRule="auto"/>
      </w:pPr>
      <w:r>
        <w:separator/>
      </w:r>
    </w:p>
  </w:footnote>
  <w:footnote w:type="continuationSeparator" w:id="0">
    <w:p w14:paraId="209FEFEC" w14:textId="77777777" w:rsidR="006241F1" w:rsidRDefault="006241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15147"/>
    <w:multiLevelType w:val="multilevel"/>
    <w:tmpl w:val="918C5576"/>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31F42C2F"/>
    <w:multiLevelType w:val="multilevel"/>
    <w:tmpl w:val="88C8C6C6"/>
    <w:lvl w:ilvl="0">
      <w:start w:val="1"/>
      <w:numFmt w:val="decimal"/>
      <w:lvlText w:val="%1."/>
      <w:lvlJc w:val="left"/>
      <w:pPr>
        <w:ind w:left="720" w:hanging="360"/>
      </w:pPr>
    </w:lvl>
    <w:lvl w:ilvl="1">
      <w:start w:val="1"/>
      <w:numFmt w:val="decimal"/>
      <w:lvlText w:val="%1.%2"/>
      <w:lvlJc w:val="left"/>
      <w:pPr>
        <w:ind w:left="1440" w:hanging="360"/>
      </w:pPr>
      <w:rPr>
        <w:b/>
        <w:bCs/>
      </w:rPr>
    </w:lvl>
    <w:lvl w:ilvl="2">
      <w:start w:val="1"/>
      <w:numFmt w:val="lowerRoman"/>
      <w:lvlText w:val="%3."/>
      <w:lvlJc w:val="right"/>
      <w:pPr>
        <w:ind w:left="2160" w:hanging="180"/>
      </w:pPr>
      <w:rPr>
        <w:b w:val="0"/>
        <w:bCs w:val="0"/>
      </w:r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9686232">
    <w:abstractNumId w:val="1"/>
  </w:num>
  <w:num w:numId="2" w16cid:durableId="1225138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2CA"/>
    <w:rsid w:val="002B12CA"/>
    <w:rsid w:val="00382796"/>
    <w:rsid w:val="003E7F81"/>
    <w:rsid w:val="0062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44C93C35-B78A-B847-AD90-BF07D7D3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6"/>
        <w:szCs w:val="16"/>
        <w:lang w:val="en"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F86"/>
    <w:pPr>
      <w:pBdr>
        <w:top w:val="nil"/>
        <w:left w:val="nil"/>
        <w:bottom w:val="nil"/>
        <w:right w:val="nil"/>
        <w:between w:val="nil"/>
      </w:pBdr>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24F86"/>
    <w:pPr>
      <w:ind w:left="720"/>
      <w:contextualSpacing/>
    </w:pPr>
  </w:style>
  <w:style w:type="character" w:styleId="CommentReference">
    <w:name w:val="annotation reference"/>
    <w:basedOn w:val="DefaultParagraphFont"/>
    <w:uiPriority w:val="99"/>
    <w:semiHidden/>
    <w:unhideWhenUsed/>
    <w:rsid w:val="0027287F"/>
    <w:rPr>
      <w:sz w:val="16"/>
      <w:szCs w:val="16"/>
    </w:rPr>
  </w:style>
  <w:style w:type="paragraph" w:styleId="CommentText">
    <w:name w:val="annotation text"/>
    <w:basedOn w:val="Normal"/>
    <w:link w:val="CommentTextChar"/>
    <w:uiPriority w:val="99"/>
    <w:semiHidden/>
    <w:unhideWhenUsed/>
    <w:rsid w:val="0027287F"/>
    <w:pPr>
      <w:spacing w:line="240" w:lineRule="auto"/>
    </w:pPr>
    <w:rPr>
      <w:sz w:val="20"/>
      <w:szCs w:val="20"/>
    </w:rPr>
  </w:style>
  <w:style w:type="character" w:customStyle="1" w:styleId="CommentTextChar">
    <w:name w:val="Comment Text Char"/>
    <w:basedOn w:val="DefaultParagraphFont"/>
    <w:link w:val="CommentText"/>
    <w:uiPriority w:val="99"/>
    <w:semiHidden/>
    <w:rsid w:val="0027287F"/>
    <w:rPr>
      <w:rFonts w:ascii="Arial" w:eastAsia="Arial" w:hAnsi="Arial" w:cs="Arial"/>
      <w:color w:val="000000"/>
      <w:sz w:val="20"/>
      <w:szCs w:val="20"/>
      <w:lang w:val="en"/>
    </w:rPr>
  </w:style>
  <w:style w:type="paragraph" w:styleId="CommentSubject">
    <w:name w:val="annotation subject"/>
    <w:basedOn w:val="CommentText"/>
    <w:next w:val="CommentText"/>
    <w:link w:val="CommentSubjectChar"/>
    <w:uiPriority w:val="99"/>
    <w:semiHidden/>
    <w:unhideWhenUsed/>
    <w:rsid w:val="0027287F"/>
    <w:rPr>
      <w:b/>
      <w:bCs/>
    </w:rPr>
  </w:style>
  <w:style w:type="character" w:customStyle="1" w:styleId="CommentSubjectChar">
    <w:name w:val="Comment Subject Char"/>
    <w:basedOn w:val="CommentTextChar"/>
    <w:link w:val="CommentSubject"/>
    <w:uiPriority w:val="99"/>
    <w:semiHidden/>
    <w:rsid w:val="0027287F"/>
    <w:rPr>
      <w:rFonts w:ascii="Arial" w:eastAsia="Arial" w:hAnsi="Arial" w:cs="Arial"/>
      <w:b/>
      <w:bCs/>
      <w:color w:val="000000"/>
      <w:sz w:val="20"/>
      <w:szCs w:val="20"/>
      <w:lang w:val="en"/>
    </w:rPr>
  </w:style>
  <w:style w:type="paragraph" w:styleId="Revision">
    <w:name w:val="Revision"/>
    <w:hidden/>
    <w:uiPriority w:val="99"/>
    <w:semiHidden/>
    <w:rsid w:val="00254E03"/>
    <w:rPr>
      <w:color w:val="000000"/>
    </w:rPr>
  </w:style>
  <w:style w:type="numbering" w:customStyle="1" w:styleId="CurrentList1">
    <w:name w:val="Current List1"/>
    <w:uiPriority w:val="99"/>
    <w:rsid w:val="00E35A5C"/>
  </w:style>
  <w:style w:type="table" w:styleId="TableGrid">
    <w:name w:val="Table Grid"/>
    <w:basedOn w:val="TableNormal"/>
    <w:uiPriority w:val="39"/>
    <w:rsid w:val="00087E3F"/>
    <w:pPr>
      <w:pBdr>
        <w:top w:val="nil"/>
        <w:left w:val="nil"/>
        <w:bottom w:val="nil"/>
        <w:right w:val="nil"/>
        <w:between w:val="nil"/>
      </w:pBdr>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5A4C"/>
    <w:pPr>
      <w:tabs>
        <w:tab w:val="center" w:pos="4680"/>
        <w:tab w:val="right" w:pos="9360"/>
      </w:tabs>
      <w:spacing w:line="240" w:lineRule="auto"/>
    </w:pPr>
  </w:style>
  <w:style w:type="character" w:customStyle="1" w:styleId="HeaderChar">
    <w:name w:val="Header Char"/>
    <w:basedOn w:val="DefaultParagraphFont"/>
    <w:link w:val="Header"/>
    <w:uiPriority w:val="99"/>
    <w:rsid w:val="009E5A4C"/>
    <w:rPr>
      <w:rFonts w:ascii="Arial" w:eastAsia="Arial" w:hAnsi="Arial" w:cs="Arial"/>
      <w:color w:val="000000"/>
      <w:sz w:val="16"/>
      <w:szCs w:val="16"/>
      <w:lang w:val="en"/>
    </w:rPr>
  </w:style>
  <w:style w:type="paragraph" w:styleId="Footer">
    <w:name w:val="footer"/>
    <w:basedOn w:val="Normal"/>
    <w:link w:val="FooterChar"/>
    <w:uiPriority w:val="99"/>
    <w:unhideWhenUsed/>
    <w:rsid w:val="009E5A4C"/>
    <w:pPr>
      <w:tabs>
        <w:tab w:val="center" w:pos="4680"/>
        <w:tab w:val="right" w:pos="9360"/>
      </w:tabs>
      <w:spacing w:line="240" w:lineRule="auto"/>
    </w:pPr>
  </w:style>
  <w:style w:type="character" w:customStyle="1" w:styleId="FooterChar">
    <w:name w:val="Footer Char"/>
    <w:basedOn w:val="DefaultParagraphFont"/>
    <w:link w:val="Footer"/>
    <w:uiPriority w:val="99"/>
    <w:rsid w:val="009E5A4C"/>
    <w:rPr>
      <w:rFonts w:ascii="Arial" w:eastAsia="Arial" w:hAnsi="Arial" w:cs="Arial"/>
      <w:color w:val="000000"/>
      <w:sz w:val="16"/>
      <w:szCs w:val="16"/>
      <w:lang w:val="en"/>
    </w:rPr>
  </w:style>
  <w:style w:type="character" w:styleId="PageNumber">
    <w:name w:val="page number"/>
    <w:basedOn w:val="DefaultParagraphFont"/>
    <w:uiPriority w:val="99"/>
    <w:semiHidden/>
    <w:unhideWhenUsed/>
    <w:rsid w:val="001F386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pBdr>
        <w:top w:val="nil"/>
        <w:left w:val="nil"/>
        <w:bottom w:val="nil"/>
        <w:right w:val="nil"/>
        <w:between w:val="nil"/>
      </w:pBdr>
    </w:pPr>
    <w:rPr>
      <w:color w:val="000000"/>
    </w:rPr>
    <w:tblPr>
      <w:tblStyleRowBandSize w:val="1"/>
      <w:tblStyleColBandSize w:val="1"/>
    </w:tblPr>
  </w:style>
  <w:style w:type="table" w:customStyle="1" w:styleId="a2">
    <w:basedOn w:val="TableNormal"/>
    <w:pPr>
      <w:pBdr>
        <w:top w:val="nil"/>
        <w:left w:val="nil"/>
        <w:bottom w:val="nil"/>
        <w:right w:val="nil"/>
        <w:between w:val="nil"/>
      </w:pBdr>
    </w:pPr>
    <w:rPr>
      <w:color w:val="000000"/>
    </w:rPr>
    <w:tblPr>
      <w:tblStyleRowBandSize w:val="1"/>
      <w:tblStyleColBandSize w:val="1"/>
    </w:tblPr>
  </w:style>
  <w:style w:type="table" w:customStyle="1" w:styleId="a3">
    <w:basedOn w:val="TableNormal"/>
    <w:pPr>
      <w:pBdr>
        <w:top w:val="nil"/>
        <w:left w:val="nil"/>
        <w:bottom w:val="nil"/>
        <w:right w:val="nil"/>
        <w:between w:val="nil"/>
      </w:pBdr>
    </w:pPr>
    <w:rPr>
      <w:color w:val="000000"/>
    </w:rPr>
    <w:tblPr>
      <w:tblStyleRowBandSize w:val="1"/>
      <w:tblStyleColBandSize w:val="1"/>
    </w:tblPr>
  </w:style>
  <w:style w:type="table" w:customStyle="1" w:styleId="a4">
    <w:basedOn w:val="TableNormal"/>
    <w:pPr>
      <w:pBdr>
        <w:top w:val="nil"/>
        <w:left w:val="nil"/>
        <w:bottom w:val="nil"/>
        <w:right w:val="nil"/>
        <w:between w:val="nil"/>
      </w:pBdr>
    </w:pPr>
    <w:rPr>
      <w:color w:val="000000"/>
    </w:rPr>
    <w:tblPr>
      <w:tblStyleRowBandSize w:val="1"/>
      <w:tblStyleColBandSize w:val="1"/>
    </w:tblPr>
  </w:style>
  <w:style w:type="table" w:customStyle="1" w:styleId="a5">
    <w:basedOn w:val="TableNormal"/>
    <w:pPr>
      <w:pBdr>
        <w:top w:val="nil"/>
        <w:left w:val="nil"/>
        <w:bottom w:val="nil"/>
        <w:right w:val="nil"/>
        <w:between w:val="nil"/>
      </w:pBdr>
    </w:pPr>
    <w:rPr>
      <w:color w:val="000000"/>
    </w:rPr>
    <w:tblPr>
      <w:tblStyleRowBandSize w:val="1"/>
      <w:tblStyleColBandSize w:val="1"/>
    </w:tblPr>
  </w:style>
  <w:style w:type="table" w:customStyle="1" w:styleId="a6">
    <w:basedOn w:val="TableNormal"/>
    <w:pPr>
      <w:pBdr>
        <w:top w:val="nil"/>
        <w:left w:val="nil"/>
        <w:bottom w:val="nil"/>
        <w:right w:val="nil"/>
        <w:between w:val="nil"/>
      </w:pBdr>
    </w:pPr>
    <w:rPr>
      <w:color w:val="000000"/>
    </w:rPr>
    <w:tblPr>
      <w:tblStyleRowBandSize w:val="1"/>
      <w:tblStyleColBandSize w:val="1"/>
    </w:tblPr>
  </w:style>
  <w:style w:type="table" w:customStyle="1" w:styleId="a7">
    <w:basedOn w:val="TableNormal"/>
    <w:pPr>
      <w:pBdr>
        <w:top w:val="nil"/>
        <w:left w:val="nil"/>
        <w:bottom w:val="nil"/>
        <w:right w:val="nil"/>
        <w:between w:val="nil"/>
      </w:pBdr>
    </w:pPr>
    <w:rPr>
      <w:color w:val="000000"/>
    </w:rPr>
    <w:tblPr>
      <w:tblStyleRowBandSize w:val="1"/>
      <w:tblStyleColBandSize w:val="1"/>
    </w:tblPr>
  </w:style>
  <w:style w:type="character" w:styleId="Hyperlink">
    <w:name w:val="Hyperlink"/>
    <w:basedOn w:val="DefaultParagraphFont"/>
    <w:uiPriority w:val="99"/>
    <w:unhideWhenUsed/>
    <w:rsid w:val="00AC0CAA"/>
    <w:rPr>
      <w:color w:val="0563C1" w:themeColor="hyperlink"/>
      <w:u w:val="single"/>
    </w:rPr>
  </w:style>
  <w:style w:type="character" w:styleId="UnresolvedMention">
    <w:name w:val="Unresolved Mention"/>
    <w:basedOn w:val="DefaultParagraphFont"/>
    <w:uiPriority w:val="99"/>
    <w:semiHidden/>
    <w:unhideWhenUsed/>
    <w:rsid w:val="00AC0CAA"/>
    <w:rPr>
      <w:color w:val="605E5C"/>
      <w:shd w:val="clear" w:color="auto" w:fill="E1DFDD"/>
    </w:rPr>
  </w:style>
  <w:style w:type="paragraph" w:styleId="NormalWeb">
    <w:name w:val="Normal (Web)"/>
    <w:basedOn w:val="Normal"/>
    <w:uiPriority w:val="99"/>
    <w:semiHidden/>
    <w:unhideWhenUsed/>
    <w:rsid w:val="00135B4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table" w:customStyle="1" w:styleId="a8">
    <w:basedOn w:val="TableNormal"/>
    <w:pPr>
      <w:pBdr>
        <w:top w:val="nil"/>
        <w:left w:val="nil"/>
        <w:bottom w:val="nil"/>
        <w:right w:val="nil"/>
        <w:between w:val="nil"/>
      </w:pBdr>
    </w:pPr>
    <w:rPr>
      <w:color w:val="000000"/>
    </w:rPr>
    <w:tblPr>
      <w:tblStyleRowBandSize w:val="1"/>
      <w:tblStyleColBandSize w:val="1"/>
      <w:tblCellMar>
        <w:left w:w="115" w:type="dxa"/>
        <w:right w:w="115" w:type="dxa"/>
      </w:tblCellMar>
    </w:tblPr>
  </w:style>
  <w:style w:type="table" w:customStyle="1" w:styleId="a9">
    <w:basedOn w:val="TableNormal"/>
    <w:pPr>
      <w:pBdr>
        <w:top w:val="nil"/>
        <w:left w:val="nil"/>
        <w:bottom w:val="nil"/>
        <w:right w:val="nil"/>
        <w:between w:val="nil"/>
      </w:pBdr>
    </w:pPr>
    <w:rPr>
      <w:color w:val="000000"/>
    </w:rPr>
    <w:tblPr>
      <w:tblStyleRowBandSize w:val="1"/>
      <w:tblStyleColBandSize w:val="1"/>
      <w:tblCellMar>
        <w:left w:w="115" w:type="dxa"/>
        <w:right w:w="115" w:type="dxa"/>
      </w:tblCellMar>
    </w:tblPr>
  </w:style>
  <w:style w:type="table" w:customStyle="1" w:styleId="aa">
    <w:basedOn w:val="TableNormal"/>
    <w:pPr>
      <w:pBdr>
        <w:top w:val="nil"/>
        <w:left w:val="nil"/>
        <w:bottom w:val="nil"/>
        <w:right w:val="nil"/>
        <w:between w:val="nil"/>
      </w:pBdr>
    </w:pPr>
    <w:rPr>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8aze4NFW4mL1dEOyN3HMaVp1mw==">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1167</Words>
  <Characters>6657</Characters>
  <Application>Microsoft Office Word</Application>
  <DocSecurity>0</DocSecurity>
  <Lines>55</Lines>
  <Paragraphs>15</Paragraphs>
  <ScaleCrop>false</ScaleCrop>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Chero Aldawoodi</dc:creator>
  <cp:lastModifiedBy>Mark Brailsford</cp:lastModifiedBy>
  <cp:revision>2</cp:revision>
  <dcterms:created xsi:type="dcterms:W3CDTF">2026-03-26T11:47:00Z</dcterms:created>
  <dcterms:modified xsi:type="dcterms:W3CDTF">2026-03-26T11:47:00Z</dcterms:modified>
</cp:coreProperties>
</file>